
<file path=[Content_Types].xml><?xml version="1.0" encoding="utf-8"?>
<Types xmlns="http://schemas.openxmlformats.org/package/2006/content-types">
  <Default Extension="xml" ContentType="application/xml"/>
  <Default Extension="xls" ContentType="application/vnd.ms-exce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80" w:leftChars="200" w:right="480" w:rightChars="200" w:firstLine="0" w:firstLineChars="0"/>
        <w:jc w:val="center"/>
        <w:rPr>
          <w:rFonts w:ascii="方正小标宋简体" w:hAnsi="方正小标宋简体" w:eastAsia="方正小标宋简体" w:cs="方正小标宋简体"/>
          <w:sz w:val="46"/>
          <w:szCs w:val="52"/>
        </w:rPr>
      </w:pPr>
      <w:bookmarkStart w:id="0" w:name="_Toc122683787"/>
      <w:bookmarkStart w:id="1" w:name="_Toc14694"/>
      <w:bookmarkStart w:id="2" w:name="_Toc329801527"/>
      <w:bookmarkStart w:id="3" w:name="_Toc329961753"/>
      <w:r>
        <w:rPr>
          <w:rFonts w:hint="eastAsia" w:ascii="方正小标宋简体" w:hAnsi="方正小标宋简体" w:eastAsia="方正小标宋简体" w:cs="方正小标宋简体"/>
          <w:sz w:val="46"/>
          <w:szCs w:val="52"/>
        </w:rPr>
        <w:t>乐山市五通桥区“十四五”地质灾害</w:t>
      </w:r>
    </w:p>
    <w:p>
      <w:pPr>
        <w:ind w:left="480" w:leftChars="200" w:right="480" w:rightChars="200" w:firstLine="0" w:firstLineChars="0"/>
        <w:jc w:val="center"/>
        <w:rPr>
          <w:rFonts w:ascii="方正小标宋简体" w:hAnsi="方正小标宋简体" w:eastAsia="方正小标宋简体" w:cs="方正小标宋简体"/>
          <w:sz w:val="46"/>
          <w:szCs w:val="52"/>
        </w:rPr>
      </w:pPr>
      <w:r>
        <w:rPr>
          <w:rFonts w:hint="eastAsia" w:ascii="方正小标宋简体" w:hAnsi="方正小标宋简体" w:eastAsia="方正小标宋简体" w:cs="方正小标宋简体"/>
          <w:sz w:val="46"/>
          <w:szCs w:val="52"/>
        </w:rPr>
        <w:t>防治规划（2021-2025年）</w:t>
      </w:r>
    </w:p>
    <w:p>
      <w:pPr>
        <w:ind w:firstLine="480"/>
        <w:jc w:val="center"/>
        <w:rPr>
          <w:rFonts w:ascii="仿宋" w:hAnsi="仿宋" w:eastAsia="仿宋" w:cs="仿宋"/>
        </w:rPr>
      </w:pPr>
    </w:p>
    <w:p>
      <w:pPr>
        <w:ind w:firstLine="480"/>
        <w:jc w:val="center"/>
        <w:rPr>
          <w:rFonts w:ascii="仿宋" w:hAnsi="仿宋" w:eastAsia="仿宋" w:cs="仿宋"/>
        </w:rPr>
      </w:pPr>
    </w:p>
    <w:p>
      <w:pPr>
        <w:ind w:firstLine="480"/>
        <w:jc w:val="center"/>
        <w:rPr>
          <w:rFonts w:ascii="仿宋" w:hAnsi="仿宋" w:eastAsia="仿宋" w:cs="仿宋"/>
        </w:rPr>
      </w:pPr>
    </w:p>
    <w:p>
      <w:pPr>
        <w:ind w:firstLine="480"/>
        <w:jc w:val="center"/>
        <w:rPr>
          <w:rFonts w:ascii="仿宋" w:hAnsi="仿宋" w:eastAsia="仿宋" w:cs="仿宋"/>
        </w:rPr>
      </w:pPr>
    </w:p>
    <w:p>
      <w:pPr>
        <w:ind w:firstLine="0" w:firstLineChars="0"/>
        <w:jc w:val="center"/>
        <w:rPr>
          <w:rFonts w:ascii="仿宋" w:hAnsi="仿宋" w:eastAsia="仿宋" w:cs="仿宋"/>
          <w:b/>
          <w:sz w:val="36"/>
          <w:szCs w:val="36"/>
        </w:rPr>
      </w:pPr>
    </w:p>
    <w:p>
      <w:pPr>
        <w:ind w:firstLine="0" w:firstLineChars="0"/>
        <w:jc w:val="center"/>
        <w:rPr>
          <w:rFonts w:ascii="仿宋" w:hAnsi="仿宋" w:eastAsia="仿宋" w:cs="仿宋"/>
          <w:b/>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ind w:firstLine="0" w:firstLineChars="0"/>
        <w:jc w:val="center"/>
        <w:rPr>
          <w:rFonts w:ascii="仿宋" w:hAnsi="仿宋" w:eastAsia="仿宋" w:cs="仿宋"/>
          <w:b/>
          <w:sz w:val="36"/>
          <w:szCs w:val="36"/>
        </w:rPr>
      </w:pPr>
    </w:p>
    <w:p>
      <w:pPr>
        <w:pStyle w:val="2"/>
      </w:pPr>
    </w:p>
    <w:p>
      <w:pPr>
        <w:ind w:firstLine="0" w:firstLineChars="0"/>
        <w:jc w:val="center"/>
        <w:rPr>
          <w:rFonts w:ascii="仿宋" w:hAnsi="仿宋" w:eastAsia="仿宋" w:cs="仿宋"/>
          <w:b/>
          <w:sz w:val="36"/>
          <w:szCs w:val="36"/>
        </w:rPr>
      </w:pPr>
    </w:p>
    <w:p>
      <w:pPr>
        <w:ind w:firstLine="0" w:firstLineChars="0"/>
        <w:jc w:val="center"/>
        <w:rPr>
          <w:rFonts w:ascii="仿宋" w:hAnsi="仿宋" w:eastAsia="仿宋" w:cs="仿宋"/>
          <w:b/>
          <w:bCs/>
          <w:sz w:val="36"/>
          <w:szCs w:val="36"/>
        </w:rPr>
      </w:pPr>
      <w:bookmarkStart w:id="4" w:name="_Toc2550"/>
      <w:r>
        <w:rPr>
          <w:rFonts w:hint="eastAsia" w:ascii="仿宋" w:hAnsi="仿宋" w:eastAsia="仿宋" w:cs="仿宋"/>
          <w:b/>
          <w:bCs/>
          <w:sz w:val="36"/>
          <w:szCs w:val="36"/>
        </w:rPr>
        <w:t>乐山市五通桥区自然资源局</w:t>
      </w:r>
      <w:bookmarkEnd w:id="4"/>
    </w:p>
    <w:p>
      <w:pPr>
        <w:ind w:firstLine="0" w:firstLineChars="0"/>
        <w:jc w:val="center"/>
        <w:rPr>
          <w:rFonts w:ascii="仿宋" w:hAnsi="仿宋" w:eastAsia="仿宋" w:cs="仿宋"/>
          <w:b/>
          <w:bCs/>
          <w:sz w:val="36"/>
          <w:szCs w:val="36"/>
        </w:rPr>
      </w:pPr>
      <w:r>
        <w:rPr>
          <w:rFonts w:hint="eastAsia" w:ascii="仿宋" w:hAnsi="仿宋" w:eastAsia="仿宋" w:cs="仿宋"/>
          <w:b/>
          <w:bCs/>
          <w:sz w:val="36"/>
          <w:szCs w:val="36"/>
        </w:rPr>
        <w:t>二O二二年十一月</w:t>
      </w:r>
    </w:p>
    <w:bookmarkEnd w:id="0"/>
    <w:bookmarkEnd w:id="1"/>
    <w:bookmarkEnd w:id="2"/>
    <w:bookmarkEnd w:id="3"/>
    <w:p>
      <w:pPr>
        <w:ind w:firstLine="480"/>
        <w:rPr>
          <w:rFonts w:ascii="仿宋" w:hAnsi="仿宋" w:eastAsia="仿宋" w:cs="仿宋"/>
          <w:bCs/>
          <w:caps/>
        </w:rPr>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p>
    <w:p>
      <w:pPr>
        <w:ind w:firstLine="0" w:firstLineChars="0"/>
        <w:jc w:val="center"/>
        <w:rPr>
          <w:rFonts w:ascii="仿宋" w:hAnsi="仿宋" w:eastAsia="仿宋" w:cs="仿宋"/>
          <w:bCs/>
          <w:caps/>
        </w:rPr>
      </w:pPr>
      <w:r>
        <w:rPr>
          <w:rFonts w:hint="eastAsia" w:ascii="仿宋" w:hAnsi="仿宋" w:eastAsia="仿宋" w:cs="仿宋"/>
          <w:bCs/>
          <w:caps/>
        </w:rPr>
        <w:fldChar w:fldCharType="end"/>
      </w:r>
      <w:r>
        <w:rPr>
          <w:rFonts w:hint="eastAsia" w:ascii="仿宋" w:hAnsi="仿宋" w:eastAsia="仿宋" w:cs="仿宋"/>
          <w:bCs/>
          <w:caps/>
        </w:rPr>
        <w:drawing>
          <wp:inline distT="0" distB="0" distL="114300" distR="114300">
            <wp:extent cx="5609590" cy="7937500"/>
            <wp:effectExtent l="0" t="0" r="10160" b="6350"/>
            <wp:docPr id="98" name="图片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
                    <pic:cNvPicPr>
                      <a:picLocks noChangeAspect="1"/>
                    </pic:cNvPicPr>
                  </pic:nvPicPr>
                  <pic:blipFill>
                    <a:blip r:embed="rId13"/>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99" name="图片 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2"/>
                    <pic:cNvPicPr>
                      <a:picLocks noChangeAspect="1"/>
                    </pic:cNvPicPr>
                  </pic:nvPicPr>
                  <pic:blipFill>
                    <a:blip r:embed="rId14"/>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100" name="图片 1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3"/>
                    <pic:cNvPicPr>
                      <a:picLocks noChangeAspect="1"/>
                    </pic:cNvPicPr>
                  </pic:nvPicPr>
                  <pic:blipFill>
                    <a:blip r:embed="rId15"/>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8552815"/>
            <wp:effectExtent l="0" t="0" r="13970" b="12065"/>
            <wp:docPr id="101" name="图片 10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4"/>
                    <pic:cNvPicPr>
                      <a:picLocks noChangeAspect="1"/>
                    </pic:cNvPicPr>
                  </pic:nvPicPr>
                  <pic:blipFill>
                    <a:blip r:embed="rId16"/>
                    <a:stretch>
                      <a:fillRect/>
                    </a:stretch>
                  </pic:blipFill>
                  <pic:spPr>
                    <a:xfrm>
                      <a:off x="0" y="0"/>
                      <a:ext cx="5609590" cy="8552815"/>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102" name="图片 10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5"/>
                    <pic:cNvPicPr>
                      <a:picLocks noChangeAspect="1"/>
                    </pic:cNvPicPr>
                  </pic:nvPicPr>
                  <pic:blipFill>
                    <a:blip r:embed="rId17"/>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103" name="图片 10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6"/>
                    <pic:cNvPicPr>
                      <a:picLocks noChangeAspect="1"/>
                    </pic:cNvPicPr>
                  </pic:nvPicPr>
                  <pic:blipFill>
                    <a:blip r:embed="rId18"/>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8662670"/>
            <wp:effectExtent l="0" t="0" r="13970" b="8890"/>
            <wp:docPr id="104" name="图片 10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7"/>
                    <pic:cNvPicPr>
                      <a:picLocks noChangeAspect="1"/>
                    </pic:cNvPicPr>
                  </pic:nvPicPr>
                  <pic:blipFill>
                    <a:blip r:embed="rId19"/>
                    <a:stretch>
                      <a:fillRect/>
                    </a:stretch>
                  </pic:blipFill>
                  <pic:spPr>
                    <a:xfrm>
                      <a:off x="0" y="0"/>
                      <a:ext cx="5609590" cy="8662670"/>
                    </a:xfrm>
                    <a:prstGeom prst="rect">
                      <a:avLst/>
                    </a:prstGeom>
                  </pic:spPr>
                </pic:pic>
              </a:graphicData>
            </a:graphic>
          </wp:inline>
        </w:drawing>
      </w:r>
      <w:r>
        <w:rPr>
          <w:rFonts w:hint="eastAsia" w:ascii="仿宋" w:hAnsi="仿宋" w:eastAsia="仿宋" w:cs="仿宋"/>
          <w:bCs/>
          <w:caps/>
        </w:rPr>
        <w:drawing>
          <wp:inline distT="0" distB="0" distL="114300" distR="114300">
            <wp:extent cx="5609590" cy="8122920"/>
            <wp:effectExtent l="0" t="0" r="13970" b="0"/>
            <wp:docPr id="105" name="图片 10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8"/>
                    <pic:cNvPicPr>
                      <a:picLocks noChangeAspect="1"/>
                    </pic:cNvPicPr>
                  </pic:nvPicPr>
                  <pic:blipFill>
                    <a:blip r:embed="rId20"/>
                    <a:stretch>
                      <a:fillRect/>
                    </a:stretch>
                  </pic:blipFill>
                  <pic:spPr>
                    <a:xfrm>
                      <a:off x="0" y="0"/>
                      <a:ext cx="5609590" cy="8122920"/>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106" name="图片 10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9"/>
                    <pic:cNvPicPr>
                      <a:picLocks noChangeAspect="1"/>
                    </pic:cNvPicPr>
                  </pic:nvPicPr>
                  <pic:blipFill>
                    <a:blip r:embed="rId21"/>
                    <a:stretch>
                      <a:fillRect/>
                    </a:stretch>
                  </pic:blipFill>
                  <pic:spPr>
                    <a:xfrm>
                      <a:off x="0" y="0"/>
                      <a:ext cx="5609590" cy="7937500"/>
                    </a:xfrm>
                    <a:prstGeom prst="rect">
                      <a:avLst/>
                    </a:prstGeom>
                  </pic:spPr>
                </pic:pic>
              </a:graphicData>
            </a:graphic>
          </wp:inline>
        </w:drawing>
      </w:r>
    </w:p>
    <w:p>
      <w:pPr>
        <w:pStyle w:val="2"/>
        <w:rPr>
          <w:rFonts w:ascii="仿宋" w:hAnsi="仿宋" w:eastAsia="仿宋" w:cs="仿宋"/>
          <w:bCs/>
          <w:caps/>
        </w:rPr>
      </w:pPr>
    </w:p>
    <w:sdt>
      <w:sdtPr>
        <w:rPr>
          <w:rFonts w:ascii="宋体" w:hAnsi="宋体"/>
          <w:sz w:val="21"/>
        </w:rPr>
        <w:id w:val="147481981"/>
        <w:docPartObj>
          <w:docPartGallery w:val="Table of Contents"/>
          <w:docPartUnique/>
        </w:docPartObj>
      </w:sdtPr>
      <w:sdtEndPr>
        <w:rPr>
          <w:rFonts w:hint="eastAsia" w:ascii="Times New Roman" w:hAnsi="Times New Roman"/>
          <w:b/>
          <w:sz w:val="28"/>
          <w:szCs w:val="20"/>
        </w:rPr>
      </w:sdtEndPr>
      <w:sdtContent>
        <w:p>
          <w:pPr>
            <w:spacing w:line="240" w:lineRule="auto"/>
            <w:ind w:firstLine="0" w:firstLineChars="0"/>
            <w:jc w:val="center"/>
            <w:rPr>
              <w:rFonts w:ascii="仿宋" w:hAnsi="仿宋" w:eastAsia="仿宋" w:cs="仿宋"/>
              <w:b/>
              <w:bCs/>
              <w:sz w:val="28"/>
              <w:szCs w:val="28"/>
            </w:rPr>
          </w:pPr>
          <w:r>
            <w:rPr>
              <w:rFonts w:hint="eastAsia" w:ascii="仿宋" w:hAnsi="仿宋" w:eastAsia="仿宋" w:cs="仿宋"/>
              <w:b/>
              <w:bCs/>
              <w:sz w:val="28"/>
              <w:szCs w:val="28"/>
            </w:rPr>
            <w:t>目录</w:t>
          </w:r>
        </w:p>
        <w:p>
          <w:pPr>
            <w:pStyle w:val="112"/>
            <w:tabs>
              <w:tab w:val="right" w:leader="dot" w:pos="8844"/>
            </w:tabs>
            <w:rPr>
              <w:rFonts w:ascii="仿宋" w:hAnsi="仿宋" w:eastAsia="仿宋" w:cs="仿宋"/>
              <w:b/>
              <w:sz w:val="24"/>
              <w:szCs w:val="24"/>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"1-2" \h \u </w:instrText>
          </w:r>
          <w:r>
            <w:rPr>
              <w:rFonts w:hint="eastAsia" w:ascii="仿宋" w:hAnsi="仿宋" w:eastAsia="仿宋" w:cs="仿宋"/>
              <w:sz w:val="28"/>
              <w:szCs w:val="28"/>
            </w:rPr>
            <w:fldChar w:fldCharType="separate"/>
          </w:r>
          <w:r>
            <w:fldChar w:fldCharType="begin"/>
          </w:r>
          <w:r>
            <w:instrText xml:space="preserve"> HYPERLINK \l "_Toc29427" </w:instrText>
          </w:r>
          <w:r>
            <w:fldChar w:fldCharType="separate"/>
          </w:r>
          <w:r>
            <w:rPr>
              <w:rFonts w:hint="eastAsia" w:ascii="仿宋" w:hAnsi="仿宋" w:eastAsia="仿宋" w:cs="仿宋"/>
              <w:b/>
              <w:bCs/>
              <w:sz w:val="24"/>
              <w:szCs w:val="24"/>
            </w:rPr>
            <w:t>前  言</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_Toc29427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1</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"_Toc20195" </w:instrText>
          </w:r>
          <w:r>
            <w:fldChar w:fldCharType="separate"/>
          </w:r>
          <w:r>
            <w:rPr>
              <w:rFonts w:hint="eastAsia" w:ascii="仿宋" w:hAnsi="仿宋" w:eastAsia="仿宋" w:cs="仿宋"/>
              <w:b/>
              <w:bCs/>
              <w:sz w:val="24"/>
              <w:szCs w:val="24"/>
            </w:rPr>
            <w:t>第一章 现状与形势</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_Toc20195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2</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"_Toc26344" </w:instrText>
          </w:r>
          <w:r>
            <w:fldChar w:fldCharType="separate"/>
          </w:r>
          <w:r>
            <w:rPr>
              <w:rFonts w:hint="eastAsia" w:ascii="仿宋" w:hAnsi="仿宋" w:eastAsia="仿宋" w:cs="仿宋"/>
              <w:sz w:val="24"/>
              <w:szCs w:val="24"/>
            </w:rPr>
            <w:t>第一节 地质灾害现状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_Toc26344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"_Toc22154" </w:instrText>
          </w:r>
          <w:r>
            <w:fldChar w:fldCharType="separate"/>
          </w:r>
          <w:r>
            <w:rPr>
              <w:rFonts w:hint="eastAsia" w:ascii="仿宋" w:hAnsi="仿宋" w:eastAsia="仿宋" w:cs="仿宋"/>
              <w:sz w:val="24"/>
              <w:szCs w:val="24"/>
            </w:rPr>
            <w:t>第二节“十三五”地质灾害防治成效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_Toc22154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"_Toc28419" </w:instrText>
          </w:r>
          <w:r>
            <w:fldChar w:fldCharType="separate"/>
          </w:r>
          <w:r>
            <w:rPr>
              <w:rFonts w:hint="eastAsia" w:ascii="仿宋" w:hAnsi="仿宋" w:eastAsia="仿宋" w:cs="仿宋"/>
              <w:sz w:val="24"/>
              <w:szCs w:val="24"/>
            </w:rPr>
            <w:t>第三节“十四五”地质灾害防治形势</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_Toc28419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"_Toc1072" </w:instrText>
          </w:r>
          <w:r>
            <w:fldChar w:fldCharType="separate"/>
          </w:r>
          <w:r>
            <w:rPr>
              <w:rFonts w:hint="eastAsia" w:ascii="仿宋" w:hAnsi="仿宋" w:eastAsia="仿宋" w:cs="仿宋"/>
              <w:b/>
              <w:kern w:val="44"/>
              <w:sz w:val="24"/>
              <w:szCs w:val="24"/>
            </w:rPr>
            <w:t>第二章  自然地理及社会经济概况</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_Toc1072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9</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"_Toc10961" </w:instrText>
          </w:r>
          <w:r>
            <w:fldChar w:fldCharType="separate"/>
          </w:r>
          <w:r>
            <w:rPr>
              <w:rFonts w:hint="eastAsia" w:ascii="仿宋" w:hAnsi="仿宋" w:eastAsia="仿宋" w:cs="仿宋"/>
              <w:sz w:val="24"/>
              <w:szCs w:val="24"/>
            </w:rPr>
            <w:t>第一节  自然地理和交通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_Toc10961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"_Toc16034" </w:instrText>
          </w:r>
          <w:r>
            <w:fldChar w:fldCharType="separate"/>
          </w:r>
          <w:r>
            <w:rPr>
              <w:rFonts w:hint="eastAsia" w:ascii="仿宋" w:hAnsi="仿宋" w:eastAsia="仿宋" w:cs="仿宋"/>
              <w:sz w:val="24"/>
              <w:szCs w:val="24"/>
            </w:rPr>
            <w:t>第二节  气象水文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_Toc16034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"_Toc32129" </w:instrText>
          </w:r>
          <w:r>
            <w:fldChar w:fldCharType="separate"/>
          </w:r>
          <w:r>
            <w:rPr>
              <w:rFonts w:hint="eastAsia" w:ascii="仿宋" w:hAnsi="仿宋" w:eastAsia="仿宋" w:cs="仿宋"/>
              <w:sz w:val="24"/>
              <w:szCs w:val="24"/>
            </w:rPr>
            <w:t>第三节  社会经济概况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_Toc32129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"_Toc23974" </w:instrText>
          </w:r>
          <w:r>
            <w:fldChar w:fldCharType="separate"/>
          </w:r>
          <w:r>
            <w:rPr>
              <w:rFonts w:hint="eastAsia" w:ascii="仿宋" w:hAnsi="仿宋" w:eastAsia="仿宋" w:cs="仿宋"/>
              <w:sz w:val="24"/>
              <w:szCs w:val="24"/>
            </w:rPr>
            <w:t>第四节  地质环境条件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_Toc23974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"_Toc990" </w:instrText>
          </w:r>
          <w:r>
            <w:fldChar w:fldCharType="separate"/>
          </w:r>
          <w:r>
            <w:rPr>
              <w:rFonts w:hint="eastAsia" w:ascii="仿宋" w:hAnsi="仿宋" w:eastAsia="仿宋" w:cs="仿宋"/>
              <w:b/>
              <w:bCs/>
              <w:sz w:val="24"/>
              <w:szCs w:val="24"/>
            </w:rPr>
            <w:t>第三章 总体要求</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_Toc990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29</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"_Toc9837" </w:instrText>
          </w:r>
          <w:r>
            <w:fldChar w:fldCharType="separate"/>
          </w:r>
          <w:r>
            <w:rPr>
              <w:rFonts w:hint="eastAsia" w:ascii="仿宋" w:hAnsi="仿宋" w:eastAsia="仿宋" w:cs="仿宋"/>
              <w:sz w:val="24"/>
              <w:szCs w:val="24"/>
            </w:rPr>
            <w:t>第一节 指导思想</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_Toc9837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"_Toc909" </w:instrText>
          </w:r>
          <w:r>
            <w:fldChar w:fldCharType="separate"/>
          </w:r>
          <w:r>
            <w:rPr>
              <w:rFonts w:hint="eastAsia" w:ascii="仿宋" w:hAnsi="仿宋" w:eastAsia="仿宋" w:cs="仿宋"/>
              <w:sz w:val="24"/>
              <w:szCs w:val="24"/>
            </w:rPr>
            <w:t>第二节 基本原则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_Toc909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"_Toc20599" </w:instrText>
          </w:r>
          <w:r>
            <w:fldChar w:fldCharType="separate"/>
          </w:r>
          <w:r>
            <w:rPr>
              <w:rFonts w:hint="eastAsia" w:ascii="仿宋" w:hAnsi="仿宋" w:eastAsia="仿宋" w:cs="仿宋"/>
              <w:sz w:val="24"/>
              <w:szCs w:val="24"/>
            </w:rPr>
            <w:t>第三节 规划目标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_Toc20599 \h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"_Toc25804" </w:instrText>
          </w:r>
          <w:r>
            <w:fldChar w:fldCharType="separate"/>
          </w:r>
          <w:r>
            <w:rPr>
              <w:rFonts w:hint="eastAsia" w:ascii="仿宋" w:hAnsi="仿宋" w:eastAsia="仿宋" w:cs="仿宋"/>
              <w:b/>
              <w:bCs/>
              <w:sz w:val="24"/>
              <w:szCs w:val="24"/>
            </w:rPr>
            <w:t>第四章 地质灾害防治分区</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_Toc25804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32</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"_Toc32447" </w:instrText>
          </w:r>
          <w:r>
            <w:fldChar w:fldCharType="separate"/>
          </w:r>
          <w:r>
            <w:rPr>
              <w:rFonts w:hint="eastAsia" w:ascii="仿宋" w:hAnsi="仿宋" w:eastAsia="仿宋" w:cs="仿宋"/>
              <w:sz w:val="24"/>
              <w:szCs w:val="24"/>
            </w:rPr>
            <w:t>第一节 地质灾害易发分区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_Toc32447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"_Toc4990" </w:instrText>
          </w:r>
          <w:r>
            <w:fldChar w:fldCharType="separate"/>
          </w:r>
          <w:r>
            <w:rPr>
              <w:rFonts w:hint="eastAsia" w:ascii="仿宋" w:hAnsi="仿宋" w:eastAsia="仿宋" w:cs="仿宋"/>
              <w:sz w:val="24"/>
              <w:szCs w:val="24"/>
            </w:rPr>
            <w:t>第二节 地质灾害风险分区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_Toc4990 \h </w:instrText>
          </w:r>
          <w:r>
            <w:rPr>
              <w:rFonts w:hint="eastAsia" w:ascii="仿宋" w:hAnsi="仿宋" w:eastAsia="仿宋" w:cs="仿宋"/>
              <w:sz w:val="24"/>
              <w:szCs w:val="24"/>
            </w:rPr>
            <w:fldChar w:fldCharType="separate"/>
          </w:r>
          <w:r>
            <w:rPr>
              <w:rFonts w:hint="eastAsia" w:ascii="仿宋" w:hAnsi="仿宋" w:eastAsia="仿宋" w:cs="仿宋"/>
              <w:sz w:val="24"/>
              <w:szCs w:val="24"/>
            </w:rPr>
            <w:t>41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"_Toc14124" </w:instrText>
          </w:r>
          <w:r>
            <w:fldChar w:fldCharType="separate"/>
          </w:r>
          <w:r>
            <w:rPr>
              <w:rFonts w:hint="eastAsia" w:ascii="仿宋" w:hAnsi="仿宋" w:eastAsia="仿宋" w:cs="仿宋"/>
              <w:sz w:val="24"/>
              <w:szCs w:val="24"/>
            </w:rPr>
            <w:t>第三节 地质灾害防治分区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_Toc14124 \h </w:instrText>
          </w:r>
          <w:r>
            <w:rPr>
              <w:rFonts w:hint="eastAsia" w:ascii="仿宋" w:hAnsi="仿宋" w:eastAsia="仿宋" w:cs="仿宋"/>
              <w:sz w:val="24"/>
              <w:szCs w:val="24"/>
            </w:rPr>
            <w:fldChar w:fldCharType="separate"/>
          </w:r>
          <w:r>
            <w:rPr>
              <w:rFonts w:hint="eastAsia" w:ascii="仿宋" w:hAnsi="仿宋" w:eastAsia="仿宋" w:cs="仿宋"/>
              <w:sz w:val="24"/>
              <w:szCs w:val="24"/>
            </w:rPr>
            <w:t>44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"_Toc18765" </w:instrText>
          </w:r>
          <w:r>
            <w:fldChar w:fldCharType="separate"/>
          </w:r>
          <w:r>
            <w:rPr>
              <w:rFonts w:hint="eastAsia" w:ascii="仿宋" w:hAnsi="仿宋" w:eastAsia="仿宋" w:cs="仿宋"/>
              <w:b/>
              <w:bCs/>
              <w:sz w:val="24"/>
              <w:szCs w:val="24"/>
            </w:rPr>
            <w:t>第五章 主要任务</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_Toc18765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46</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"_Toc29335" </w:instrText>
          </w:r>
          <w:r>
            <w:fldChar w:fldCharType="separate"/>
          </w:r>
          <w:r>
            <w:rPr>
              <w:rFonts w:hint="eastAsia" w:ascii="仿宋" w:hAnsi="仿宋" w:eastAsia="仿宋" w:cs="仿宋"/>
              <w:sz w:val="24"/>
              <w:szCs w:val="24"/>
            </w:rPr>
            <w:t>第一节 推进隐患识别和风险调查评价，不断夯实地质灾害源头防范基础</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_Toc29335 \h </w:instrText>
          </w:r>
          <w:r>
            <w:rPr>
              <w:rFonts w:hint="eastAsia" w:ascii="仿宋" w:hAnsi="仿宋" w:eastAsia="仿宋" w:cs="仿宋"/>
              <w:sz w:val="24"/>
              <w:szCs w:val="24"/>
            </w:rPr>
            <w:fldChar w:fldCharType="separate"/>
          </w:r>
          <w:r>
            <w:rPr>
              <w:rFonts w:hint="eastAsia" w:ascii="仿宋" w:hAnsi="仿宋" w:eastAsia="仿宋" w:cs="仿宋"/>
              <w:sz w:val="24"/>
              <w:szCs w:val="24"/>
            </w:rPr>
            <w:t>46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"_Toc4647" </w:instrText>
          </w:r>
          <w:r>
            <w:fldChar w:fldCharType="separate"/>
          </w:r>
          <w:r>
            <w:rPr>
              <w:rFonts w:hint="eastAsia" w:ascii="仿宋" w:hAnsi="仿宋" w:eastAsia="仿宋" w:cs="仿宋"/>
              <w:sz w:val="24"/>
              <w:szCs w:val="24"/>
            </w:rPr>
            <w:t>第二节 推行隐患点和风险区双控模式，构建地质灾害风险双控格局</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_Toc4647 \h </w:instrText>
          </w:r>
          <w:r>
            <w:rPr>
              <w:rFonts w:hint="eastAsia" w:ascii="仿宋" w:hAnsi="仿宋" w:eastAsia="仿宋" w:cs="仿宋"/>
              <w:sz w:val="24"/>
              <w:szCs w:val="24"/>
            </w:rPr>
            <w:fldChar w:fldCharType="separate"/>
          </w:r>
          <w:r>
            <w:rPr>
              <w:rFonts w:hint="eastAsia" w:ascii="仿宋" w:hAnsi="仿宋" w:eastAsia="仿宋" w:cs="仿宋"/>
              <w:sz w:val="24"/>
              <w:szCs w:val="24"/>
            </w:rPr>
            <w:t>48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"_Toc29152" </w:instrText>
          </w:r>
          <w:r>
            <w:fldChar w:fldCharType="separate"/>
          </w:r>
          <w:r>
            <w:rPr>
              <w:rFonts w:hint="eastAsia" w:ascii="仿宋" w:hAnsi="仿宋" w:eastAsia="仿宋" w:cs="仿宋"/>
              <w:sz w:val="24"/>
              <w:szCs w:val="24"/>
            </w:rPr>
            <w:t>第三节 持续着力人防+技防并重，健全完善群专结合监测预警体系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_Toc29152 \h </w:instrText>
          </w:r>
          <w:r>
            <w:rPr>
              <w:rFonts w:hint="eastAsia" w:ascii="仿宋" w:hAnsi="仿宋" w:eastAsia="仿宋" w:cs="仿宋"/>
              <w:sz w:val="24"/>
              <w:szCs w:val="24"/>
            </w:rPr>
            <w:fldChar w:fldCharType="separate"/>
          </w:r>
          <w:r>
            <w:rPr>
              <w:rFonts w:hint="eastAsia" w:ascii="仿宋" w:hAnsi="仿宋" w:eastAsia="仿宋" w:cs="仿宋"/>
              <w:sz w:val="24"/>
              <w:szCs w:val="24"/>
            </w:rPr>
            <w:t>50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"_Toc9574" </w:instrText>
          </w:r>
          <w:r>
            <w:fldChar w:fldCharType="separate"/>
          </w:r>
          <w:r>
            <w:rPr>
              <w:rFonts w:hint="eastAsia" w:ascii="仿宋" w:hAnsi="仿宋" w:eastAsia="仿宋" w:cs="仿宋"/>
              <w:sz w:val="24"/>
              <w:szCs w:val="24"/>
            </w:rPr>
            <w:t>第四节 分类分级实施搬迁与治理，建立地质灾害全域综合整治模式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_Toc9574 \h </w:instrText>
          </w:r>
          <w:r>
            <w:rPr>
              <w:rFonts w:hint="eastAsia" w:ascii="仿宋" w:hAnsi="仿宋" w:eastAsia="仿宋" w:cs="仿宋"/>
              <w:sz w:val="24"/>
              <w:szCs w:val="24"/>
            </w:rPr>
            <w:fldChar w:fldCharType="separate"/>
          </w:r>
          <w:r>
            <w:rPr>
              <w:rFonts w:hint="eastAsia" w:ascii="仿宋" w:hAnsi="仿宋" w:eastAsia="仿宋" w:cs="仿宋"/>
              <w:sz w:val="24"/>
              <w:szCs w:val="24"/>
            </w:rPr>
            <w:t>53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"_Toc10483" </w:instrText>
          </w:r>
          <w:r>
            <w:fldChar w:fldCharType="separate"/>
          </w:r>
          <w:r>
            <w:rPr>
              <w:rFonts w:hint="eastAsia" w:ascii="仿宋" w:hAnsi="仿宋" w:eastAsia="仿宋" w:cs="仿宋"/>
              <w:sz w:val="24"/>
              <w:szCs w:val="24"/>
            </w:rPr>
            <w:t>第五节 加大科技创新和科研投入，提升信息化支撑服务水平</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_Toc10483 \h </w:instrText>
          </w:r>
          <w:r>
            <w:rPr>
              <w:rFonts w:hint="eastAsia" w:ascii="仿宋" w:hAnsi="仿宋" w:eastAsia="仿宋" w:cs="仿宋"/>
              <w:sz w:val="24"/>
              <w:szCs w:val="24"/>
            </w:rPr>
            <w:fldChar w:fldCharType="separate"/>
          </w:r>
          <w:r>
            <w:rPr>
              <w:rFonts w:hint="eastAsia" w:ascii="仿宋" w:hAnsi="仿宋" w:eastAsia="仿宋" w:cs="仿宋"/>
              <w:sz w:val="24"/>
              <w:szCs w:val="24"/>
            </w:rPr>
            <w:t>64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"_Toc16730" </w:instrText>
          </w:r>
          <w:r>
            <w:fldChar w:fldCharType="separate"/>
          </w:r>
          <w:r>
            <w:rPr>
              <w:rFonts w:hint="eastAsia" w:ascii="仿宋" w:hAnsi="仿宋" w:eastAsia="仿宋" w:cs="仿宋"/>
              <w:sz w:val="24"/>
              <w:szCs w:val="24"/>
            </w:rPr>
            <w:t>第六节 推动地质灾害防治能力建设，增强全社会防灾抗灾能力</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_Toc16730 \h </w:instrText>
          </w:r>
          <w:r>
            <w:rPr>
              <w:rFonts w:hint="eastAsia" w:ascii="仿宋" w:hAnsi="仿宋" w:eastAsia="仿宋" w:cs="仿宋"/>
              <w:sz w:val="24"/>
              <w:szCs w:val="24"/>
            </w:rPr>
            <w:fldChar w:fldCharType="separate"/>
          </w:r>
          <w:r>
            <w:rPr>
              <w:rFonts w:hint="eastAsia" w:ascii="仿宋" w:hAnsi="仿宋" w:eastAsia="仿宋" w:cs="仿宋"/>
              <w:sz w:val="24"/>
              <w:szCs w:val="24"/>
            </w:rPr>
            <w:t>65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"_Toc22188" </w:instrText>
          </w:r>
          <w:r>
            <w:fldChar w:fldCharType="separate"/>
          </w:r>
          <w:r>
            <w:rPr>
              <w:rFonts w:hint="eastAsia" w:ascii="仿宋" w:hAnsi="仿宋" w:eastAsia="仿宋" w:cs="仿宋"/>
              <w:sz w:val="24"/>
              <w:szCs w:val="24"/>
            </w:rPr>
            <w:t>第七节 严格落实推进“十二个百分之百”防灾减灾工作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_Toc22188 \h </w:instrText>
          </w:r>
          <w:r>
            <w:rPr>
              <w:rFonts w:hint="eastAsia" w:ascii="仿宋" w:hAnsi="仿宋" w:eastAsia="仿宋" w:cs="仿宋"/>
              <w:sz w:val="24"/>
              <w:szCs w:val="24"/>
            </w:rPr>
            <w:fldChar w:fldCharType="separate"/>
          </w:r>
          <w:r>
            <w:rPr>
              <w:rFonts w:hint="eastAsia" w:ascii="仿宋" w:hAnsi="仿宋" w:eastAsia="仿宋" w:cs="仿宋"/>
              <w:sz w:val="24"/>
              <w:szCs w:val="24"/>
            </w:rPr>
            <w:t>65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"_Toc25622" </w:instrText>
          </w:r>
          <w:r>
            <w:fldChar w:fldCharType="separate"/>
          </w:r>
          <w:r>
            <w:rPr>
              <w:rFonts w:hint="eastAsia" w:ascii="仿宋" w:hAnsi="仿宋" w:eastAsia="仿宋" w:cs="仿宋"/>
              <w:sz w:val="24"/>
              <w:szCs w:val="24"/>
            </w:rPr>
            <w:t>第八节 防治规划的实施效果及地质灾害发展趋势预测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_Toc25622 \h </w:instrText>
          </w:r>
          <w:r>
            <w:rPr>
              <w:rFonts w:hint="eastAsia" w:ascii="仿宋" w:hAnsi="仿宋" w:eastAsia="仿宋" w:cs="仿宋"/>
              <w:sz w:val="24"/>
              <w:szCs w:val="24"/>
            </w:rPr>
            <w:fldChar w:fldCharType="separate"/>
          </w:r>
          <w:r>
            <w:rPr>
              <w:rFonts w:hint="eastAsia" w:ascii="仿宋" w:hAnsi="仿宋" w:eastAsia="仿宋" w:cs="仿宋"/>
              <w:sz w:val="24"/>
              <w:szCs w:val="24"/>
            </w:rPr>
            <w:t>67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"_Toc22761" </w:instrText>
          </w:r>
          <w:r>
            <w:fldChar w:fldCharType="separate"/>
          </w:r>
          <w:r>
            <w:rPr>
              <w:rFonts w:hint="eastAsia" w:ascii="仿宋" w:hAnsi="仿宋" w:eastAsia="仿宋" w:cs="仿宋"/>
              <w:bCs/>
              <w:sz w:val="24"/>
              <w:szCs w:val="24"/>
            </w:rPr>
            <w:t>第九节 重大工程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_Toc22761 \h </w:instrText>
          </w:r>
          <w:r>
            <w:rPr>
              <w:rFonts w:hint="eastAsia" w:ascii="仿宋" w:hAnsi="仿宋" w:eastAsia="仿宋" w:cs="仿宋"/>
              <w:sz w:val="24"/>
              <w:szCs w:val="24"/>
            </w:rPr>
            <w:fldChar w:fldCharType="separate"/>
          </w:r>
          <w:r>
            <w:rPr>
              <w:rFonts w:hint="eastAsia" w:ascii="仿宋" w:hAnsi="仿宋" w:eastAsia="仿宋" w:cs="仿宋"/>
              <w:sz w:val="24"/>
              <w:szCs w:val="24"/>
            </w:rPr>
            <w:t>69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"_Toc21419" </w:instrText>
          </w:r>
          <w:r>
            <w:fldChar w:fldCharType="separate"/>
          </w:r>
          <w:r>
            <w:rPr>
              <w:rFonts w:hint="eastAsia" w:ascii="仿宋" w:hAnsi="仿宋" w:eastAsia="仿宋" w:cs="仿宋"/>
              <w:b/>
              <w:bCs/>
              <w:sz w:val="24"/>
              <w:szCs w:val="24"/>
            </w:rPr>
            <w:t>第六章 进度安排与防治效益评估</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_Toc21419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78</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"_Toc1634" </w:instrText>
          </w:r>
          <w:r>
            <w:fldChar w:fldCharType="separate"/>
          </w:r>
          <w:r>
            <w:rPr>
              <w:rFonts w:hint="eastAsia" w:ascii="仿宋" w:hAnsi="仿宋" w:eastAsia="仿宋" w:cs="仿宋"/>
              <w:sz w:val="24"/>
              <w:szCs w:val="24"/>
            </w:rPr>
            <w:t>第一节、进度安排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_Toc1634 \h </w:instrText>
          </w:r>
          <w:r>
            <w:rPr>
              <w:rFonts w:hint="eastAsia" w:ascii="仿宋" w:hAnsi="仿宋" w:eastAsia="仿宋" w:cs="仿宋"/>
              <w:sz w:val="24"/>
              <w:szCs w:val="24"/>
            </w:rPr>
            <w:fldChar w:fldCharType="separate"/>
          </w:r>
          <w:r>
            <w:rPr>
              <w:rFonts w:hint="eastAsia" w:ascii="仿宋" w:hAnsi="仿宋" w:eastAsia="仿宋" w:cs="仿宋"/>
              <w:sz w:val="24"/>
              <w:szCs w:val="24"/>
            </w:rPr>
            <w:t>78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"_Toc14648" </w:instrText>
          </w:r>
          <w:r>
            <w:fldChar w:fldCharType="separate"/>
          </w:r>
          <w:r>
            <w:rPr>
              <w:rFonts w:hint="eastAsia" w:ascii="仿宋" w:hAnsi="仿宋" w:eastAsia="仿宋" w:cs="仿宋"/>
              <w:sz w:val="24"/>
              <w:szCs w:val="24"/>
            </w:rPr>
            <w:t>第二节、防治费用估算</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_Toc14648 \h </w:instrText>
          </w:r>
          <w:r>
            <w:rPr>
              <w:rFonts w:hint="eastAsia" w:ascii="仿宋" w:hAnsi="仿宋" w:eastAsia="仿宋" w:cs="仿宋"/>
              <w:sz w:val="24"/>
              <w:szCs w:val="24"/>
            </w:rPr>
            <w:fldChar w:fldCharType="separate"/>
          </w:r>
          <w:r>
            <w:rPr>
              <w:rFonts w:hint="eastAsia" w:ascii="仿宋" w:hAnsi="仿宋" w:eastAsia="仿宋" w:cs="仿宋"/>
              <w:sz w:val="24"/>
              <w:szCs w:val="24"/>
            </w:rPr>
            <w:t>80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"_Toc25588" </w:instrText>
          </w:r>
          <w:r>
            <w:fldChar w:fldCharType="separate"/>
          </w:r>
          <w:r>
            <w:rPr>
              <w:rFonts w:hint="eastAsia" w:ascii="仿宋" w:hAnsi="仿宋" w:eastAsia="仿宋" w:cs="仿宋"/>
              <w:sz w:val="24"/>
              <w:szCs w:val="24"/>
            </w:rPr>
            <w:t>第三节、防治效益评估测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_Toc25588 \h </w:instrText>
          </w:r>
          <w:r>
            <w:rPr>
              <w:rFonts w:hint="eastAsia" w:ascii="仿宋" w:hAnsi="仿宋" w:eastAsia="仿宋" w:cs="仿宋"/>
              <w:sz w:val="24"/>
              <w:szCs w:val="24"/>
            </w:rPr>
            <w:fldChar w:fldCharType="separate"/>
          </w:r>
          <w:r>
            <w:rPr>
              <w:rFonts w:hint="eastAsia" w:ascii="仿宋" w:hAnsi="仿宋" w:eastAsia="仿宋" w:cs="仿宋"/>
              <w:sz w:val="24"/>
              <w:szCs w:val="24"/>
            </w:rPr>
            <w:t>84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"_Toc28022" </w:instrText>
          </w:r>
          <w:r>
            <w:fldChar w:fldCharType="separate"/>
          </w:r>
          <w:r>
            <w:rPr>
              <w:rFonts w:hint="eastAsia" w:ascii="仿宋" w:hAnsi="仿宋" w:eastAsia="仿宋" w:cs="仿宋"/>
              <w:b/>
              <w:bCs/>
              <w:sz w:val="24"/>
              <w:szCs w:val="24"/>
            </w:rPr>
            <w:t>第七章 保障措施</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_Toc28022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85</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"_Toc31102" </w:instrText>
          </w:r>
          <w:r>
            <w:fldChar w:fldCharType="separate"/>
          </w:r>
          <w:r>
            <w:rPr>
              <w:rFonts w:hint="eastAsia" w:ascii="仿宋" w:hAnsi="仿宋" w:eastAsia="仿宋" w:cs="仿宋"/>
              <w:sz w:val="24"/>
              <w:szCs w:val="24"/>
            </w:rPr>
            <w:t>第一节 加强组织领导</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_Toc31102 \h </w:instrText>
          </w:r>
          <w:r>
            <w:rPr>
              <w:rFonts w:hint="eastAsia" w:ascii="仿宋" w:hAnsi="仿宋" w:eastAsia="仿宋" w:cs="仿宋"/>
              <w:sz w:val="24"/>
              <w:szCs w:val="24"/>
            </w:rPr>
            <w:fldChar w:fldCharType="separate"/>
          </w:r>
          <w:r>
            <w:rPr>
              <w:rFonts w:hint="eastAsia" w:ascii="仿宋" w:hAnsi="仿宋" w:eastAsia="仿宋" w:cs="仿宋"/>
              <w:sz w:val="24"/>
              <w:szCs w:val="24"/>
            </w:rPr>
            <w:t>85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"_Toc19114" </w:instrText>
          </w:r>
          <w:r>
            <w:fldChar w:fldCharType="separate"/>
          </w:r>
          <w:r>
            <w:rPr>
              <w:rFonts w:hint="eastAsia" w:ascii="仿宋" w:hAnsi="仿宋" w:eastAsia="仿宋" w:cs="仿宋"/>
              <w:sz w:val="24"/>
              <w:szCs w:val="24"/>
            </w:rPr>
            <w:t>第二节 强化资金保障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_Toc19114 \h </w:instrText>
          </w:r>
          <w:r>
            <w:rPr>
              <w:rFonts w:hint="eastAsia" w:ascii="仿宋" w:hAnsi="仿宋" w:eastAsia="仿宋" w:cs="仿宋"/>
              <w:sz w:val="24"/>
              <w:szCs w:val="24"/>
            </w:rPr>
            <w:fldChar w:fldCharType="separate"/>
          </w:r>
          <w:r>
            <w:rPr>
              <w:rFonts w:hint="eastAsia" w:ascii="仿宋" w:hAnsi="仿宋" w:eastAsia="仿宋" w:cs="仿宋"/>
              <w:sz w:val="24"/>
              <w:szCs w:val="24"/>
            </w:rPr>
            <w:t>86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"_Toc27276" </w:instrText>
          </w:r>
          <w:r>
            <w:fldChar w:fldCharType="separate"/>
          </w:r>
          <w:r>
            <w:rPr>
              <w:rFonts w:hint="eastAsia" w:ascii="仿宋" w:hAnsi="仿宋" w:eastAsia="仿宋" w:cs="仿宋"/>
              <w:sz w:val="24"/>
              <w:szCs w:val="24"/>
            </w:rPr>
            <w:t>第三节 技术保障措施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_Toc27276 \h </w:instrText>
          </w:r>
          <w:r>
            <w:rPr>
              <w:rFonts w:hint="eastAsia" w:ascii="仿宋" w:hAnsi="仿宋" w:eastAsia="仿宋" w:cs="仿宋"/>
              <w:sz w:val="24"/>
              <w:szCs w:val="24"/>
            </w:rPr>
            <w:fldChar w:fldCharType="separate"/>
          </w:r>
          <w:r>
            <w:rPr>
              <w:rFonts w:hint="eastAsia" w:ascii="仿宋" w:hAnsi="仿宋" w:eastAsia="仿宋" w:cs="仿宋"/>
              <w:sz w:val="24"/>
              <w:szCs w:val="24"/>
            </w:rPr>
            <w:t>87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"_Toc14116" </w:instrText>
          </w:r>
          <w:r>
            <w:fldChar w:fldCharType="separate"/>
          </w:r>
          <w:r>
            <w:rPr>
              <w:rFonts w:hint="eastAsia" w:ascii="仿宋" w:hAnsi="仿宋" w:eastAsia="仿宋" w:cs="仿宋"/>
              <w:sz w:val="24"/>
              <w:szCs w:val="24"/>
            </w:rPr>
            <w:t>第四节 严格监督评估</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_Toc14116 \h </w:instrText>
          </w:r>
          <w:r>
            <w:rPr>
              <w:rFonts w:hint="eastAsia" w:ascii="仿宋" w:hAnsi="仿宋" w:eastAsia="仿宋" w:cs="仿宋"/>
              <w:sz w:val="24"/>
              <w:szCs w:val="24"/>
            </w:rPr>
            <w:fldChar w:fldCharType="separate"/>
          </w:r>
          <w:r>
            <w:rPr>
              <w:rFonts w:hint="eastAsia" w:ascii="仿宋" w:hAnsi="仿宋" w:eastAsia="仿宋" w:cs="仿宋"/>
              <w:sz w:val="24"/>
              <w:szCs w:val="24"/>
            </w:rPr>
            <w:t>87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8"/>
              <w:szCs w:val="28"/>
            </w:rPr>
          </w:pPr>
          <w:r>
            <w:fldChar w:fldCharType="begin"/>
          </w:r>
          <w:r>
            <w:instrText xml:space="preserve"> HYPERLINK \l "_Toc22873" </w:instrText>
          </w:r>
          <w:r>
            <w:fldChar w:fldCharType="separate"/>
          </w:r>
          <w:r>
            <w:rPr>
              <w:rFonts w:hint="eastAsia" w:ascii="仿宋" w:hAnsi="仿宋" w:eastAsia="仿宋" w:cs="仿宋"/>
              <w:sz w:val="24"/>
              <w:szCs w:val="24"/>
            </w:rPr>
            <w:t>第五节 做好宣传引导</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_Toc22873 \h </w:instrText>
          </w:r>
          <w:r>
            <w:rPr>
              <w:rFonts w:hint="eastAsia" w:ascii="仿宋" w:hAnsi="仿宋" w:eastAsia="仿宋" w:cs="仿宋"/>
              <w:sz w:val="24"/>
              <w:szCs w:val="24"/>
            </w:rPr>
            <w:fldChar w:fldCharType="separate"/>
          </w:r>
          <w:r>
            <w:rPr>
              <w:rFonts w:hint="eastAsia" w:ascii="仿宋" w:hAnsi="仿宋" w:eastAsia="仿宋" w:cs="仿宋"/>
              <w:sz w:val="24"/>
              <w:szCs w:val="24"/>
            </w:rPr>
            <w:t>88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
          </w:pPr>
          <w:r>
            <w:rPr>
              <w:rFonts w:hint="eastAsia" w:ascii="仿宋" w:hAnsi="仿宋" w:eastAsia="仿宋" w:cs="仿宋"/>
              <w:b/>
              <w:szCs w:val="28"/>
            </w:rPr>
            <w:fldChar w:fldCharType="end"/>
          </w:r>
        </w:p>
      </w:sdtContent>
    </w:sdt>
    <w:p>
      <w:pPr>
        <w:ind w:firstLine="0" w:firstLineChars="0"/>
        <w:rPr>
          <w:rFonts w:ascii="仿宋" w:hAnsi="仿宋" w:eastAsia="仿宋" w:cs="仿宋"/>
          <w:b/>
        </w:rPr>
      </w:pPr>
      <w:r>
        <w:rPr>
          <w:rFonts w:hint="eastAsia" w:ascii="仿宋" w:hAnsi="仿宋" w:eastAsia="仿宋" w:cs="仿宋"/>
          <w:b/>
          <w:bCs/>
          <w:caps/>
        </w:rPr>
        <w:t>附图：</w:t>
      </w:r>
    </w:p>
    <w:p>
      <w:pPr>
        <w:ind w:left="960" w:hanging="960" w:hangingChars="400"/>
        <w:rPr>
          <w:rFonts w:ascii="仿宋" w:hAnsi="仿宋" w:eastAsia="仿宋" w:cs="仿宋"/>
          <w:b/>
          <w:sz w:val="36"/>
          <w:szCs w:val="36"/>
        </w:rPr>
      </w:pPr>
      <w:r>
        <w:rPr>
          <w:rFonts w:hint="eastAsia" w:ascii="仿宋" w:hAnsi="仿宋" w:eastAsia="仿宋" w:cs="仿宋"/>
        </w:rPr>
        <w:t>附图1：乐山市五通桥区“十四五”地质灾害防治规划（2021-2025年）地质灾害隐患点分布图（1:50000）；</w:t>
      </w:r>
    </w:p>
    <w:p>
      <w:pPr>
        <w:ind w:left="960" w:hanging="960" w:hangingChars="400"/>
        <w:rPr>
          <w:rFonts w:ascii="仿宋" w:hAnsi="仿宋" w:eastAsia="仿宋" w:cs="仿宋"/>
        </w:rPr>
      </w:pPr>
      <w:r>
        <w:rPr>
          <w:rFonts w:hint="eastAsia" w:ascii="仿宋" w:hAnsi="仿宋" w:eastAsia="仿宋" w:cs="仿宋"/>
        </w:rPr>
        <w:t>附图2：乐山市五通桥区“十四五”地质灾害防治规划（2021-2025年）地质灾害隐患易发分区图（1:50000）；</w:t>
      </w:r>
    </w:p>
    <w:p>
      <w:pPr>
        <w:ind w:left="960" w:hanging="960" w:hangingChars="400"/>
        <w:rPr>
          <w:rFonts w:ascii="仿宋" w:hAnsi="仿宋" w:eastAsia="仿宋" w:cs="仿宋"/>
        </w:rPr>
      </w:pPr>
      <w:r>
        <w:rPr>
          <w:rFonts w:hint="eastAsia" w:ascii="仿宋" w:hAnsi="仿宋" w:eastAsia="仿宋" w:cs="仿宋"/>
        </w:rPr>
        <w:t>附图3：乐山市五通桥区“十四五”地质灾害防治规划（2021-2025年）地质灾害隐患防治分区图（1:50000）；</w:t>
      </w:r>
    </w:p>
    <w:p>
      <w:pPr>
        <w:ind w:left="960" w:hanging="960" w:hangingChars="400"/>
        <w:rPr>
          <w:rFonts w:ascii="仿宋" w:hAnsi="仿宋" w:eastAsia="仿宋" w:cs="仿宋"/>
        </w:rPr>
      </w:pPr>
      <w:r>
        <w:rPr>
          <w:rFonts w:hint="eastAsia" w:ascii="仿宋" w:hAnsi="仿宋" w:eastAsia="仿宋" w:cs="仿宋"/>
        </w:rPr>
        <w:t>附图4：乐山市五通桥区“十四五”地质灾害防治规划（2021-2025年）地质灾害隐患防治规划图（1:50000）；</w:t>
      </w:r>
    </w:p>
    <w:p>
      <w:pPr>
        <w:ind w:left="960" w:hanging="960" w:hangingChars="400"/>
        <w:rPr>
          <w:rFonts w:ascii="仿宋" w:hAnsi="仿宋" w:eastAsia="仿宋" w:cs="仿宋"/>
        </w:rPr>
      </w:pPr>
      <w:r>
        <w:rPr>
          <w:rFonts w:hint="eastAsia" w:ascii="仿宋" w:hAnsi="仿宋" w:eastAsia="仿宋" w:cs="仿宋"/>
        </w:rPr>
        <w:t>附图5：五通桥区“十四五”地质灾害防治规划（2021-2025年）地质灾害避险搬迁安置规划图（1:50000）；</w:t>
      </w:r>
    </w:p>
    <w:p>
      <w:pPr>
        <w:ind w:firstLine="0" w:firstLineChars="0"/>
        <w:rPr>
          <w:rFonts w:ascii="仿宋" w:hAnsi="仿宋" w:eastAsia="仿宋" w:cs="仿宋"/>
          <w:b/>
          <w:bCs/>
          <w:caps/>
        </w:rPr>
      </w:pPr>
      <w:bookmarkStart w:id="5" w:name="_Toc21483"/>
      <w:bookmarkStart w:id="6" w:name="_Toc13668"/>
      <w:bookmarkStart w:id="7" w:name="_Toc17302"/>
      <w:bookmarkStart w:id="8" w:name="_Toc122683788"/>
    </w:p>
    <w:p>
      <w:pPr>
        <w:ind w:firstLine="0" w:firstLineChars="0"/>
        <w:rPr>
          <w:rFonts w:ascii="仿宋" w:hAnsi="仿宋" w:eastAsia="仿宋" w:cs="仿宋"/>
          <w:b/>
          <w:bCs/>
          <w:caps/>
        </w:rPr>
      </w:pPr>
      <w:r>
        <w:rPr>
          <w:rFonts w:hint="eastAsia" w:ascii="仿宋" w:hAnsi="仿宋" w:eastAsia="仿宋" w:cs="仿宋"/>
          <w:b/>
          <w:bCs/>
          <w:caps/>
        </w:rPr>
        <w:t>附表</w:t>
      </w:r>
      <w:bookmarkEnd w:id="5"/>
      <w:bookmarkEnd w:id="6"/>
      <w:bookmarkEnd w:id="7"/>
      <w:bookmarkEnd w:id="8"/>
      <w:r>
        <w:rPr>
          <w:rFonts w:hint="eastAsia" w:ascii="仿宋" w:hAnsi="仿宋" w:eastAsia="仿宋" w:cs="仿宋"/>
          <w:b/>
          <w:bCs/>
          <w:caps/>
        </w:rPr>
        <w:t>：</w:t>
      </w:r>
    </w:p>
    <w:p>
      <w:pPr>
        <w:ind w:left="960" w:hanging="960" w:hangingChars="400"/>
        <w:rPr>
          <w:rFonts w:ascii="仿宋" w:hAnsi="仿宋" w:eastAsia="仿宋" w:cs="仿宋"/>
        </w:rPr>
      </w:pPr>
      <w:r>
        <w:rPr>
          <w:rFonts w:hint="eastAsia" w:ascii="仿宋" w:hAnsi="仿宋" w:eastAsia="仿宋" w:cs="仿宋"/>
        </w:rPr>
        <w:t>附表1：乐山市五通桥区“十四五”地质灾害防治规划（2021-2025年）地质灾害隐患点汇总表；</w:t>
      </w:r>
    </w:p>
    <w:p>
      <w:pPr>
        <w:ind w:left="960" w:hanging="960" w:hangingChars="400"/>
        <w:rPr>
          <w:rFonts w:ascii="仿宋" w:hAnsi="仿宋" w:eastAsia="仿宋" w:cs="仿宋"/>
        </w:rPr>
      </w:pPr>
      <w:r>
        <w:rPr>
          <w:rFonts w:hint="eastAsia" w:ascii="仿宋" w:hAnsi="仿宋" w:eastAsia="仿宋" w:cs="仿宋"/>
        </w:rPr>
        <w:t>附表2： 乐山市五通桥区“十四五”地质灾害防治规划（2021-2025年）地质灾害易发分区评价表；</w:t>
      </w:r>
    </w:p>
    <w:p>
      <w:pPr>
        <w:ind w:left="960" w:hanging="960" w:hangingChars="400"/>
        <w:rPr>
          <w:rFonts w:ascii="仿宋" w:hAnsi="仿宋" w:eastAsia="仿宋" w:cs="仿宋"/>
        </w:rPr>
      </w:pPr>
      <w:r>
        <w:rPr>
          <w:rFonts w:hint="eastAsia" w:ascii="仿宋" w:hAnsi="仿宋" w:eastAsia="仿宋" w:cs="仿宋"/>
        </w:rPr>
        <w:t>附表3：乐山市五通桥区“十四五”地质灾害防治规划（2021-2025年）地质灾害防治分区评价表；</w:t>
      </w:r>
    </w:p>
    <w:p>
      <w:pPr>
        <w:ind w:left="960" w:hanging="960" w:hangingChars="400"/>
        <w:rPr>
          <w:rFonts w:ascii="仿宋" w:hAnsi="仿宋" w:eastAsia="仿宋" w:cs="仿宋"/>
        </w:rPr>
      </w:pPr>
      <w:r>
        <w:rPr>
          <w:rFonts w:hint="eastAsia" w:ascii="仿宋" w:hAnsi="仿宋" w:eastAsia="仿宋" w:cs="仿宋"/>
        </w:rPr>
        <w:t>附表4：乐山市五通桥区“十四五”地质灾害防治规划（2021-2025年）地质灾害防治规划工作量总表；</w:t>
      </w:r>
    </w:p>
    <w:p>
      <w:pPr>
        <w:ind w:left="960" w:hanging="960" w:hangingChars="400"/>
        <w:rPr>
          <w:rFonts w:ascii="仿宋" w:hAnsi="仿宋" w:eastAsia="仿宋" w:cs="仿宋"/>
        </w:rPr>
      </w:pPr>
      <w:r>
        <w:rPr>
          <w:rFonts w:hint="eastAsia" w:ascii="仿宋" w:hAnsi="仿宋" w:eastAsia="仿宋" w:cs="仿宋"/>
        </w:rPr>
        <w:t>附表5：乐山市五通桥区“十四五”地质灾害防治规划（2021-2025年）“三年行动计划”规划工作量表；</w:t>
      </w:r>
    </w:p>
    <w:p>
      <w:pPr>
        <w:ind w:left="960" w:hanging="960" w:hangingChars="400"/>
        <w:rPr>
          <w:rFonts w:ascii="仿宋" w:hAnsi="仿宋" w:eastAsia="仿宋" w:cs="仿宋"/>
        </w:rPr>
      </w:pPr>
      <w:r>
        <w:rPr>
          <w:rFonts w:hint="eastAsia" w:ascii="仿宋" w:hAnsi="仿宋" w:eastAsia="仿宋" w:cs="仿宋"/>
        </w:rPr>
        <w:t>附表6：乐山市五通桥区“十四五”地质灾害防治规划（2021-2025年）“中远期”规划工作量表；</w:t>
      </w:r>
    </w:p>
    <w:p>
      <w:pPr>
        <w:ind w:firstLine="480"/>
        <w:jc w:val="left"/>
        <w:rPr>
          <w:rFonts w:ascii="仿宋" w:hAnsi="仿宋" w:eastAsia="仿宋" w:cs="仿宋"/>
        </w:rPr>
      </w:pPr>
    </w:p>
    <w:p>
      <w:pPr>
        <w:ind w:firstLine="480"/>
        <w:jc w:val="left"/>
        <w:rPr>
          <w:rFonts w:ascii="仿宋" w:hAnsi="仿宋" w:eastAsia="仿宋" w:cs="仿宋"/>
        </w:rPr>
        <w:sectPr>
          <w:headerReference r:id="rId6" w:type="first"/>
          <w:footerReference r:id="rId9" w:type="first"/>
          <w:footerReference r:id="rId7" w:type="default"/>
          <w:headerReference r:id="rId5" w:type="even"/>
          <w:footerReference r:id="rId8" w:type="even"/>
          <w:pgSz w:w="11906" w:h="16838"/>
          <w:pgMar w:top="1701" w:right="1531" w:bottom="1474" w:left="1531" w:header="907" w:footer="907" w:gutter="0"/>
          <w:pgNumType w:fmt="upperRoman" w:start="1"/>
          <w:cols w:space="425" w:num="1"/>
          <w:docGrid w:type="lines" w:linePitch="326" w:charSpace="0"/>
        </w:sectPr>
      </w:pPr>
    </w:p>
    <w:p>
      <w:pPr>
        <w:pStyle w:val="4"/>
        <w:snapToGrid w:val="0"/>
        <w:spacing w:before="0" w:after="0" w:line="360" w:lineRule="auto"/>
        <w:rPr>
          <w:rFonts w:cs="仿宋"/>
          <w:b/>
          <w:bCs/>
        </w:rPr>
      </w:pPr>
      <w:bookmarkStart w:id="9" w:name="_Toc330300901"/>
      <w:bookmarkStart w:id="10" w:name="_Toc21251"/>
      <w:bookmarkStart w:id="11" w:name="_Toc327438337"/>
      <w:bookmarkStart w:id="12" w:name="_Toc5714"/>
      <w:bookmarkStart w:id="13" w:name="_Toc322436824"/>
      <w:bookmarkStart w:id="14" w:name="_Toc29427"/>
      <w:bookmarkStart w:id="15" w:name="_Toc322436186"/>
      <w:bookmarkStart w:id="16" w:name="_Toc327438260"/>
      <w:r>
        <w:rPr>
          <w:rFonts w:hint="eastAsia" w:cs="仿宋"/>
          <w:b/>
          <w:bCs/>
        </w:rPr>
        <w:t>前  言</w:t>
      </w:r>
      <w:bookmarkEnd w:id="9"/>
      <w:bookmarkEnd w:id="10"/>
      <w:bookmarkEnd w:id="11"/>
      <w:bookmarkEnd w:id="12"/>
      <w:bookmarkEnd w:id="13"/>
      <w:bookmarkEnd w:id="14"/>
      <w:bookmarkEnd w:id="15"/>
      <w:bookmarkEnd w:id="16"/>
    </w:p>
    <w:p>
      <w:pPr>
        <w:snapToGrid w:val="0"/>
        <w:ind w:firstLine="560"/>
        <w:rPr>
          <w:rFonts w:ascii="仿宋" w:hAnsi="仿宋" w:eastAsia="仿宋" w:cs="仿宋"/>
          <w:sz w:val="28"/>
          <w:szCs w:val="28"/>
        </w:rPr>
      </w:pPr>
      <w:bookmarkStart w:id="17" w:name="_Toc324612925"/>
      <w:r>
        <w:rPr>
          <w:rFonts w:hint="eastAsia" w:ascii="仿宋" w:hAnsi="仿宋" w:eastAsia="仿宋" w:cs="仿宋"/>
          <w:sz w:val="28"/>
          <w:szCs w:val="28"/>
        </w:rPr>
        <w:t>为深入贯彻党的十九大和十九届二中、三中、四中、五中、六中全会精神，落实省委十一届六次、七次、八次、九次全会要求，及乐山市委第七届及历次全会关于防灾减灾救灾各项决策部署，坚持以人民为中心，坚持新发展理念，建立科学高效的地质灾害综合防治体系，有效减轻地质灾害风险，保护人民生命财产安全，保障五通桥区经济持续健康发展和开启全面建设社会主义现代化国家新征程，依据有关法律法规及《四川省地质灾害防治十四五规划》，《乐山市“十四五”地质灾害防治规划（2021-2025年）》，衔接《四川省地质灾害全域综合整治三年行动计划（2021-2023年）》及《乐山市地质灾害全域综合整治三年行动计划（2021-2023年）》编制本规划。</w:t>
      </w:r>
      <w:bookmarkEnd w:id="17"/>
    </w:p>
    <w:p>
      <w:pPr>
        <w:snapToGrid w:val="0"/>
        <w:ind w:firstLine="562"/>
        <w:rPr>
          <w:rFonts w:ascii="仿宋" w:hAnsi="仿宋" w:eastAsia="仿宋" w:cs="仿宋"/>
          <w:sz w:val="28"/>
          <w:szCs w:val="28"/>
        </w:rPr>
      </w:pPr>
      <w:r>
        <w:rPr>
          <w:rFonts w:hint="eastAsia" w:ascii="仿宋" w:hAnsi="仿宋" w:eastAsia="仿宋" w:cs="仿宋"/>
          <w:b/>
          <w:bCs/>
          <w:sz w:val="28"/>
          <w:szCs w:val="28"/>
        </w:rPr>
        <w:t>规划对象：</w:t>
      </w:r>
      <w:r>
        <w:rPr>
          <w:rFonts w:hint="eastAsia" w:ascii="仿宋" w:hAnsi="仿宋" w:eastAsia="仿宋" w:cs="仿宋"/>
          <w:sz w:val="28"/>
          <w:szCs w:val="28"/>
        </w:rPr>
        <w:t>自然因素或人为活动引发的危害人民生命和财产安全的滑坡、崩塌、泥石流、地面塌陷等与地质作用有关的灾害。</w:t>
      </w:r>
    </w:p>
    <w:p>
      <w:pPr>
        <w:snapToGrid w:val="0"/>
        <w:ind w:firstLine="562"/>
        <w:rPr>
          <w:rFonts w:ascii="仿宋" w:hAnsi="仿宋" w:eastAsia="仿宋" w:cs="仿宋"/>
          <w:sz w:val="28"/>
          <w:szCs w:val="28"/>
        </w:rPr>
      </w:pPr>
      <w:r>
        <w:rPr>
          <w:rFonts w:hint="eastAsia" w:ascii="仿宋" w:hAnsi="仿宋" w:eastAsia="仿宋" w:cs="仿宋"/>
          <w:b/>
          <w:bCs/>
          <w:sz w:val="28"/>
          <w:szCs w:val="28"/>
        </w:rPr>
        <w:t>规划内容：</w:t>
      </w:r>
      <w:r>
        <w:rPr>
          <w:rFonts w:hint="eastAsia" w:ascii="仿宋" w:hAnsi="仿宋" w:eastAsia="仿宋" w:cs="仿宋"/>
          <w:sz w:val="28"/>
          <w:szCs w:val="28"/>
        </w:rPr>
        <w:t>地质灾害风险调查评价、风险管控、监测预警、避险搬迁与治理、信息化建设和防治能力提升。</w:t>
      </w:r>
    </w:p>
    <w:p>
      <w:pPr>
        <w:snapToGrid w:val="0"/>
        <w:ind w:firstLine="562"/>
        <w:rPr>
          <w:rFonts w:ascii="仿宋" w:hAnsi="仿宋" w:eastAsia="仿宋" w:cs="仿宋"/>
          <w:sz w:val="28"/>
          <w:szCs w:val="28"/>
        </w:rPr>
      </w:pPr>
      <w:r>
        <w:rPr>
          <w:rFonts w:hint="eastAsia" w:ascii="仿宋" w:hAnsi="仿宋" w:eastAsia="仿宋" w:cs="仿宋"/>
          <w:b/>
          <w:bCs/>
          <w:sz w:val="28"/>
          <w:szCs w:val="28"/>
        </w:rPr>
        <w:t>规划范围：</w:t>
      </w:r>
      <w:r>
        <w:rPr>
          <w:rFonts w:hint="eastAsia" w:ascii="仿宋" w:hAnsi="仿宋" w:eastAsia="仿宋" w:cs="仿宋"/>
          <w:sz w:val="28"/>
          <w:szCs w:val="28"/>
        </w:rPr>
        <w:t>辖区竹根镇、牛华镇、金山镇、金粟镇、石麟镇、西坝镇、冠英镇、蔡金镇共8个镇，面积465.67km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snapToGrid w:val="0"/>
        <w:ind w:firstLine="562"/>
        <w:rPr>
          <w:rFonts w:ascii="仿宋" w:hAnsi="仿宋" w:eastAsia="仿宋" w:cs="仿宋"/>
          <w:sz w:val="28"/>
          <w:szCs w:val="28"/>
        </w:rPr>
      </w:pPr>
      <w:r>
        <w:rPr>
          <w:rFonts w:hint="eastAsia" w:ascii="仿宋" w:hAnsi="仿宋" w:eastAsia="仿宋" w:cs="仿宋"/>
          <w:b/>
          <w:bCs/>
          <w:sz w:val="28"/>
          <w:szCs w:val="28"/>
        </w:rPr>
        <w:t>规划期限：</w:t>
      </w:r>
      <w:r>
        <w:rPr>
          <w:rFonts w:hint="eastAsia" w:ascii="仿宋" w:hAnsi="仿宋" w:eastAsia="仿宋" w:cs="仿宋"/>
          <w:sz w:val="28"/>
          <w:szCs w:val="28"/>
        </w:rPr>
        <w:t>本次规划期限为2021年～2025年，即“十四五”规划，分为“全域综合整治三年行动计划”（近期规划2021～2023）、中远期规划（2024～2025）。其中2020年为现状基准年，2025年为规划水平年，2025年以后为远景规划（规划期外）。</w:t>
      </w:r>
    </w:p>
    <w:p>
      <w:pPr>
        <w:pStyle w:val="2"/>
        <w:rPr>
          <w:rFonts w:ascii="仿宋" w:hAnsi="仿宋" w:eastAsia="仿宋" w:cs="仿宋"/>
          <w:szCs w:val="28"/>
        </w:rPr>
      </w:pPr>
    </w:p>
    <w:p>
      <w:pPr>
        <w:pStyle w:val="3"/>
        <w:ind w:firstLine="240"/>
      </w:pPr>
    </w:p>
    <w:p>
      <w:pPr>
        <w:snapToGrid w:val="0"/>
        <w:ind w:firstLine="480"/>
        <w:rPr>
          <w:rFonts w:ascii="仿宋" w:hAnsi="仿宋" w:eastAsia="仿宋" w:cs="仿宋"/>
          <w:shd w:val="clear" w:color="auto" w:fill="FFFFFF"/>
        </w:rPr>
      </w:pPr>
    </w:p>
    <w:p>
      <w:pPr>
        <w:pStyle w:val="4"/>
        <w:snapToGrid w:val="0"/>
        <w:spacing w:before="0" w:after="0" w:line="360" w:lineRule="auto"/>
        <w:rPr>
          <w:rFonts w:cs="仿宋"/>
          <w:b/>
          <w:bCs/>
        </w:rPr>
      </w:pPr>
      <w:bookmarkStart w:id="18" w:name="_Toc322436825"/>
      <w:bookmarkStart w:id="19" w:name="_Toc327438261"/>
      <w:bookmarkStart w:id="20" w:name="_Toc23642"/>
      <w:bookmarkStart w:id="21" w:name="_Toc20195"/>
      <w:bookmarkStart w:id="22" w:name="_Toc327438338"/>
      <w:bookmarkStart w:id="23" w:name="_Toc330300902"/>
      <w:bookmarkStart w:id="24" w:name="_Toc13629"/>
      <w:bookmarkStart w:id="25" w:name="_Toc322436187"/>
      <w:r>
        <w:rPr>
          <w:rFonts w:hint="eastAsia" w:cs="仿宋"/>
          <w:b/>
          <w:bCs/>
        </w:rPr>
        <w:t>第一章 现状与形势</w:t>
      </w:r>
      <w:bookmarkEnd w:id="18"/>
      <w:bookmarkEnd w:id="19"/>
      <w:bookmarkEnd w:id="20"/>
      <w:bookmarkEnd w:id="21"/>
      <w:bookmarkEnd w:id="22"/>
      <w:bookmarkEnd w:id="23"/>
      <w:bookmarkEnd w:id="24"/>
      <w:bookmarkEnd w:id="25"/>
    </w:p>
    <w:p>
      <w:pPr>
        <w:snapToGrid w:val="0"/>
        <w:ind w:firstLine="560"/>
        <w:rPr>
          <w:rFonts w:ascii="仿宋" w:hAnsi="仿宋" w:eastAsia="仿宋" w:cs="仿宋"/>
          <w:sz w:val="28"/>
          <w:szCs w:val="28"/>
          <w:highlight w:val="green"/>
        </w:rPr>
      </w:pPr>
      <w:bookmarkStart w:id="26" w:name="_Toc327438339"/>
      <w:bookmarkStart w:id="27" w:name="_Toc330300903"/>
      <w:bookmarkStart w:id="28" w:name="_Toc322436826"/>
      <w:bookmarkStart w:id="29" w:name="_Toc322436188"/>
      <w:bookmarkStart w:id="30" w:name="_Toc327438262"/>
      <w:r>
        <w:rPr>
          <w:rFonts w:hint="eastAsia" w:ascii="仿宋" w:hAnsi="仿宋" w:eastAsia="仿宋" w:cs="仿宋"/>
          <w:sz w:val="28"/>
          <w:szCs w:val="28"/>
        </w:rPr>
        <w:t>五通桥区位于四川盆地西南部，地理坐标：东经103°39′～103°56′,北纬29°17′～29°31′，幅员面积465.67km</w:t>
      </w:r>
      <w:r>
        <w:rPr>
          <w:rFonts w:hint="eastAsia" w:ascii="仿宋" w:hAnsi="仿宋" w:eastAsia="仿宋" w:cs="仿宋"/>
          <w:sz w:val="28"/>
          <w:szCs w:val="28"/>
          <w:vertAlign w:val="superscript"/>
        </w:rPr>
        <w:t>2</w:t>
      </w:r>
      <w:r>
        <w:rPr>
          <w:rFonts w:hint="eastAsia" w:ascii="仿宋" w:hAnsi="仿宋" w:eastAsia="仿宋" w:cs="仿宋"/>
          <w:sz w:val="28"/>
          <w:szCs w:val="28"/>
        </w:rPr>
        <w:t>,区内地貌复杂多样，包含了平坝区、浅丘区、深丘区及低山区。地层岩性复杂，气候复杂多变，地质构造发育,地质灾害具有点多、面广和成灾快等特点，呈频发、多发态势，地质灾害隐患严重程度居全市中等偏下。</w:t>
      </w:r>
    </w:p>
    <w:p>
      <w:pPr>
        <w:pStyle w:val="5"/>
        <w:snapToGrid w:val="0"/>
        <w:spacing w:beforeLines="0"/>
        <w:jc w:val="center"/>
        <w:rPr>
          <w:rStyle w:val="95"/>
          <w:rFonts w:ascii="仿宋" w:hAnsi="仿宋" w:eastAsia="仿宋" w:cs="仿宋"/>
          <w:sz w:val="30"/>
        </w:rPr>
      </w:pPr>
      <w:bookmarkStart w:id="31" w:name="_Toc30931"/>
      <w:bookmarkStart w:id="32" w:name="_Toc25853"/>
      <w:bookmarkStart w:id="33" w:name="_Toc26344"/>
      <w:r>
        <w:rPr>
          <w:rStyle w:val="95"/>
          <w:rFonts w:hint="eastAsia" w:ascii="仿宋" w:hAnsi="仿宋" w:eastAsia="仿宋" w:cs="仿宋"/>
          <w:sz w:val="30"/>
        </w:rPr>
        <w:t>第一节 地质灾害现状</w:t>
      </w:r>
      <w:bookmarkEnd w:id="31"/>
      <w:bookmarkEnd w:id="32"/>
      <w:bookmarkEnd w:id="33"/>
    </w:p>
    <w:p>
      <w:pPr>
        <w:pStyle w:val="6"/>
        <w:snapToGrid w:val="0"/>
        <w:spacing w:beforeLines="0" w:afterLines="0"/>
        <w:ind w:firstLine="562" w:firstLineChars="200"/>
        <w:rPr>
          <w:rFonts w:cs="仿宋"/>
          <w:szCs w:val="28"/>
        </w:rPr>
      </w:pPr>
      <w:bookmarkStart w:id="34" w:name="_Toc20134"/>
      <w:bookmarkStart w:id="35" w:name="_Toc31398"/>
      <w:r>
        <w:rPr>
          <w:rFonts w:hint="eastAsia" w:cs="仿宋"/>
          <w:szCs w:val="28"/>
        </w:rPr>
        <w:t>一、地质灾害发育特征</w:t>
      </w:r>
      <w:bookmarkEnd w:id="34"/>
      <w:bookmarkEnd w:id="35"/>
    </w:p>
    <w:p>
      <w:pPr>
        <w:snapToGrid w:val="0"/>
        <w:ind w:firstLine="560"/>
        <w:rPr>
          <w:rFonts w:ascii="仿宋" w:hAnsi="仿宋" w:eastAsia="仿宋" w:cs="仿宋"/>
          <w:sz w:val="28"/>
          <w:szCs w:val="28"/>
        </w:rPr>
      </w:pPr>
      <w:r>
        <w:rPr>
          <w:rFonts w:hint="eastAsia" w:ascii="仿宋" w:hAnsi="仿宋" w:eastAsia="仿宋" w:cs="仿宋"/>
          <w:sz w:val="28"/>
          <w:szCs w:val="28"/>
        </w:rPr>
        <w:t>五通桥区境内的地质灾害点总数55处，主要分布在广大农村地区，区内现有地质灾害类型为崩塌（危岩）及滑坡，地质灾害规模以小型为主。总体上，五通桥区地质灾害具有点多面广、规模小、突发性强等特征。</w:t>
      </w:r>
    </w:p>
    <w:p>
      <w:pPr>
        <w:snapToGrid w:val="0"/>
        <w:ind w:firstLine="560"/>
        <w:rPr>
          <w:rFonts w:ascii="仿宋" w:hAnsi="仿宋" w:eastAsia="仿宋" w:cs="仿宋"/>
          <w:sz w:val="28"/>
          <w:szCs w:val="28"/>
        </w:rPr>
      </w:pPr>
      <w:bookmarkStart w:id="36" w:name="_Toc468259654"/>
      <w:bookmarkStart w:id="37" w:name="_Toc468221676"/>
      <w:bookmarkStart w:id="38" w:name="_Toc469046110"/>
      <w:bookmarkStart w:id="39" w:name="_Toc468260290"/>
      <w:bookmarkStart w:id="40" w:name="_Toc468259792"/>
      <w:r>
        <w:rPr>
          <w:rFonts w:hint="eastAsia" w:ascii="仿宋" w:hAnsi="仿宋" w:eastAsia="仿宋" w:cs="仿宋"/>
          <w:sz w:val="28"/>
          <w:szCs w:val="28"/>
        </w:rPr>
        <w:t>（一）崩塌（危岩）</w:t>
      </w:r>
      <w:bookmarkEnd w:id="36"/>
      <w:bookmarkEnd w:id="37"/>
      <w:bookmarkEnd w:id="38"/>
      <w:bookmarkEnd w:id="39"/>
      <w:bookmarkEnd w:id="40"/>
    </w:p>
    <w:p>
      <w:pPr>
        <w:snapToGrid w:val="0"/>
        <w:ind w:firstLine="560"/>
        <w:rPr>
          <w:rFonts w:ascii="仿宋" w:hAnsi="仿宋" w:eastAsia="仿宋" w:cs="仿宋"/>
          <w:sz w:val="28"/>
          <w:szCs w:val="28"/>
        </w:rPr>
      </w:pPr>
      <w:r>
        <w:rPr>
          <w:rFonts w:hint="eastAsia" w:ascii="仿宋" w:hAnsi="仿宋" w:eastAsia="仿宋" w:cs="仿宋"/>
          <w:sz w:val="28"/>
          <w:szCs w:val="28"/>
        </w:rPr>
        <w:t>区境内崩塌共有39处，占总数的71%，1处为中型，38处为小型。危岩崩塌的危害性是极大的，一方面其破坏具突发性，灾害发生时人类常难以及时逃避；另一方面其往往分布高差大，具有极大的势能，一旦发生崩塌，其下部影响区都会受灾。目前危岩崩塌主要影响因素为岩体卸荷裂隙，自然因素诱发较多，多发生于高陡边坡坡度大于60°的高临空面，一般发育于自流井组（J</w:t>
      </w:r>
      <w:r>
        <w:rPr>
          <w:rFonts w:hint="eastAsia" w:ascii="仿宋" w:hAnsi="仿宋" w:eastAsia="仿宋" w:cs="仿宋"/>
          <w:sz w:val="28"/>
          <w:szCs w:val="28"/>
          <w:vertAlign w:val="subscript"/>
        </w:rPr>
        <w:t>1-2</w:t>
      </w:r>
      <w:r>
        <w:rPr>
          <w:rFonts w:hint="eastAsia" w:ascii="仿宋" w:hAnsi="仿宋" w:eastAsia="仿宋" w:cs="仿宋"/>
          <w:sz w:val="28"/>
          <w:szCs w:val="28"/>
        </w:rPr>
        <w:t>zl）、沙溪庙组（J</w:t>
      </w:r>
      <w:r>
        <w:rPr>
          <w:rFonts w:hint="eastAsia" w:ascii="仿宋" w:hAnsi="仿宋" w:eastAsia="仿宋" w:cs="仿宋"/>
          <w:sz w:val="28"/>
          <w:szCs w:val="28"/>
          <w:vertAlign w:val="subscript"/>
        </w:rPr>
        <w:t>2</w:t>
      </w:r>
      <w:r>
        <w:rPr>
          <w:rFonts w:hint="eastAsia" w:ascii="仿宋" w:hAnsi="仿宋" w:eastAsia="仿宋" w:cs="仿宋"/>
          <w:sz w:val="28"/>
          <w:szCs w:val="28"/>
        </w:rPr>
        <w:t>s）、须家河组（T</w:t>
      </w:r>
      <w:r>
        <w:rPr>
          <w:rFonts w:hint="eastAsia" w:ascii="仿宋" w:hAnsi="仿宋" w:eastAsia="仿宋" w:cs="仿宋"/>
          <w:sz w:val="28"/>
          <w:szCs w:val="28"/>
          <w:vertAlign w:val="subscript"/>
        </w:rPr>
        <w:t>3</w:t>
      </w:r>
      <w:r>
        <w:rPr>
          <w:rFonts w:hint="eastAsia" w:ascii="仿宋" w:hAnsi="仿宋" w:eastAsia="仿宋" w:cs="仿宋"/>
          <w:sz w:val="28"/>
          <w:szCs w:val="28"/>
        </w:rPr>
        <w:t>xj）地层中，以砂岩、粉砂岩为主，危岩根部一般与泥岩接触，岩体抗风化能力较差并因差异风化作用在接触带形成凹岩腔和高临空面，在强降雨诱发和重力卸荷营力作用下产生崩塌。</w:t>
      </w:r>
    </w:p>
    <w:p>
      <w:pPr>
        <w:snapToGrid w:val="0"/>
        <w:ind w:firstLine="560"/>
        <w:rPr>
          <w:rFonts w:ascii="仿宋" w:hAnsi="仿宋" w:eastAsia="仿宋" w:cs="仿宋"/>
          <w:sz w:val="28"/>
          <w:szCs w:val="28"/>
        </w:rPr>
      </w:pPr>
      <w:r>
        <w:rPr>
          <w:rFonts w:hint="eastAsia" w:ascii="仿宋" w:hAnsi="仿宋" w:eastAsia="仿宋" w:cs="仿宋"/>
          <w:sz w:val="28"/>
          <w:szCs w:val="28"/>
          <w:highlight w:val="none"/>
        </w:rPr>
        <w:t>区境内崩</w:t>
      </w:r>
      <w:r>
        <w:rPr>
          <w:rFonts w:hint="eastAsia" w:ascii="仿宋" w:hAnsi="仿宋" w:eastAsia="仿宋" w:cs="仿宋"/>
          <w:sz w:val="28"/>
          <w:szCs w:val="28"/>
        </w:rPr>
        <w:t>塌具有突发性强、隐蔽性强、危害性大的特点，但规模较小，多发生在持续干旱或遭遇强降雨之后，其发育过程缓慢而久长，一般无人知晓陡崖裂缝从何时开始，因而易使人麻痹大意，认为很长时间均相安无事则不会产生不良影响。此类崩塌发生时由于具有相当大的动能，极易连环引发下部陡斜坡地带发生落石，同时对坡脚下建筑物及居民生命财产构成严重威胁。</w:t>
      </w:r>
      <w:bookmarkStart w:id="41" w:name="_Toc469046111"/>
      <w:bookmarkStart w:id="42" w:name="_Toc468259793"/>
      <w:bookmarkStart w:id="43" w:name="_Toc468260291"/>
      <w:bookmarkStart w:id="44" w:name="_Toc468259655"/>
      <w:bookmarkStart w:id="45" w:name="_Toc468221677"/>
    </w:p>
    <w:p>
      <w:pPr>
        <w:snapToGrid w:val="0"/>
        <w:ind w:firstLine="560"/>
        <w:rPr>
          <w:rFonts w:ascii="仿宋" w:hAnsi="仿宋" w:eastAsia="仿宋" w:cs="仿宋"/>
          <w:sz w:val="28"/>
          <w:szCs w:val="28"/>
        </w:rPr>
      </w:pPr>
      <w:r>
        <w:rPr>
          <w:rFonts w:hint="eastAsia" w:ascii="仿宋" w:hAnsi="仿宋" w:eastAsia="仿宋" w:cs="仿宋"/>
          <w:sz w:val="28"/>
          <w:szCs w:val="28"/>
        </w:rPr>
        <w:t>（二）滑坡</w:t>
      </w:r>
      <w:bookmarkEnd w:id="41"/>
      <w:bookmarkEnd w:id="42"/>
      <w:bookmarkEnd w:id="43"/>
      <w:bookmarkEnd w:id="44"/>
      <w:bookmarkEnd w:id="45"/>
    </w:p>
    <w:p>
      <w:pPr>
        <w:snapToGrid w:val="0"/>
        <w:ind w:firstLine="560"/>
        <w:rPr>
          <w:rFonts w:ascii="仿宋" w:hAnsi="仿宋" w:eastAsia="仿宋" w:cs="仿宋"/>
          <w:sz w:val="28"/>
          <w:szCs w:val="28"/>
        </w:rPr>
      </w:pPr>
      <w:r>
        <w:rPr>
          <w:rFonts w:hint="eastAsia" w:ascii="仿宋" w:hAnsi="仿宋" w:eastAsia="仿宋" w:cs="仿宋"/>
          <w:sz w:val="28"/>
          <w:szCs w:val="28"/>
        </w:rPr>
        <w:t xml:space="preserve">区境内共有16处滑坡,占总数的29%，其中2处为中型，14处为小型。滑体平面形态多为“舌型”、“半圆形”，剖面形态多呈阶梯状或微凸状；后缘拉裂缝发育，一般呈圈椅状，局部下错变形甚至滑塌，滑坡壁多发育剪切裂缝，坡内地面裂缝及建筑物屋面裂缝一般倾向斜坡坡向发育，以直线状、浅弧状、之字状等形态产出，长短不一，多断续横坡向延伸；部份变形体前缘见鼓丘，局部隆起、鼓胀、坍塌凹陷或向剪出口方向（多数为天然冲沟而形成的临空面）挤出。 </w:t>
      </w:r>
    </w:p>
    <w:p>
      <w:pPr>
        <w:snapToGrid w:val="0"/>
        <w:ind w:firstLine="560"/>
        <w:rPr>
          <w:rFonts w:ascii="仿宋" w:hAnsi="仿宋" w:eastAsia="仿宋" w:cs="仿宋"/>
          <w:sz w:val="28"/>
          <w:szCs w:val="28"/>
        </w:rPr>
      </w:pPr>
      <w:r>
        <w:rPr>
          <w:rFonts w:hint="eastAsia" w:ascii="仿宋" w:hAnsi="仿宋" w:eastAsia="仿宋" w:cs="仿宋"/>
          <w:sz w:val="28"/>
          <w:szCs w:val="28"/>
        </w:rPr>
        <w:t>五通桥区滑坡地质灾害规模一般较小，危害性中等，普遍表现为将房屋拉裂变形甚至歪斜倒塌，滑坡上房屋地基变形、院坝及墙面开裂下错，危及居民生命财产安全。</w:t>
      </w:r>
    </w:p>
    <w:p>
      <w:pPr>
        <w:snapToGrid w:val="0"/>
        <w:ind w:firstLine="560"/>
        <w:rPr>
          <w:rFonts w:ascii="仿宋" w:hAnsi="仿宋" w:eastAsia="仿宋" w:cs="仿宋"/>
          <w:sz w:val="28"/>
          <w:szCs w:val="28"/>
        </w:rPr>
      </w:pPr>
      <w:r>
        <w:rPr>
          <w:rFonts w:hint="eastAsia" w:ascii="仿宋" w:hAnsi="仿宋" w:eastAsia="仿宋" w:cs="仿宋"/>
          <w:sz w:val="28"/>
          <w:szCs w:val="28"/>
        </w:rPr>
        <w:t>按物质组成结构分析，区境内滑坡均为土质滑坡，厚度为1m～6m，普遍上薄下厚。滑移结构面较为单一，均以组合接触面为滑移面，如第四系松散覆盖层与下伏基岩接触带，滑动面普遍与坡面相近。滑带土特征为粘土类，一般呈软塑状，滑床多为基岩强风化带，以易于软化的泥岩类为主。</w:t>
      </w:r>
    </w:p>
    <w:p>
      <w:pPr>
        <w:snapToGrid w:val="0"/>
        <w:ind w:firstLine="560"/>
        <w:rPr>
          <w:rFonts w:ascii="仿宋" w:hAnsi="仿宋" w:eastAsia="仿宋" w:cs="仿宋"/>
          <w:sz w:val="28"/>
          <w:szCs w:val="28"/>
        </w:rPr>
      </w:pPr>
      <w:r>
        <w:rPr>
          <w:rFonts w:hint="eastAsia" w:ascii="仿宋" w:hAnsi="仿宋" w:eastAsia="仿宋" w:cs="仿宋"/>
          <w:sz w:val="28"/>
          <w:szCs w:val="28"/>
        </w:rPr>
        <w:t>按成因及诱发因素分析，影响因素有自然因素和人为因素。区境内降雨集中在每年的7～8月雨季期，而多数滑坡体内一般又以水田、人工引灌沟渠或集水塘的分布为主，是直接诱发滑坡灾害的自然因素；其次，不合理的人类工程活动（主要表现在人工边坡的开挖及挖掘采矿等方面）是诱发和产生滑坡的另一主要因素。</w:t>
      </w:r>
    </w:p>
    <w:p>
      <w:pPr>
        <w:pStyle w:val="6"/>
        <w:snapToGrid w:val="0"/>
        <w:spacing w:beforeLines="0" w:afterLines="0"/>
        <w:ind w:firstLine="562" w:firstLineChars="200"/>
        <w:rPr>
          <w:rFonts w:cs="仿宋"/>
          <w:szCs w:val="28"/>
        </w:rPr>
      </w:pPr>
      <w:bookmarkStart w:id="46" w:name="_Toc9894"/>
      <w:bookmarkStart w:id="47" w:name="_Toc4698"/>
      <w:r>
        <w:rPr>
          <w:rFonts w:hint="eastAsia" w:cs="仿宋"/>
          <w:szCs w:val="28"/>
        </w:rPr>
        <w:t>二、地质灾害分布特征</w:t>
      </w:r>
      <w:bookmarkEnd w:id="46"/>
      <w:bookmarkEnd w:id="47"/>
    </w:p>
    <w:p>
      <w:pPr>
        <w:snapToGrid w:val="0"/>
        <w:ind w:firstLine="560"/>
        <w:rPr>
          <w:rFonts w:ascii="仿宋" w:hAnsi="仿宋" w:eastAsia="仿宋" w:cs="仿宋"/>
          <w:sz w:val="28"/>
          <w:szCs w:val="28"/>
        </w:rPr>
      </w:pPr>
      <w:bookmarkStart w:id="48" w:name="_Toc469046104"/>
      <w:bookmarkStart w:id="49" w:name="_Toc468260286"/>
      <w:bookmarkStart w:id="50" w:name="_Toc468259644"/>
      <w:bookmarkStart w:id="51" w:name="_Toc468221672"/>
      <w:bookmarkStart w:id="52" w:name="_Toc468259782"/>
      <w:r>
        <w:rPr>
          <w:rFonts w:hint="eastAsia" w:ascii="仿宋" w:hAnsi="仿宋" w:eastAsia="仿宋" w:cs="仿宋"/>
          <w:sz w:val="28"/>
          <w:szCs w:val="28"/>
        </w:rPr>
        <w:t>（一）地质灾害类型</w:t>
      </w:r>
      <w:bookmarkEnd w:id="48"/>
      <w:bookmarkEnd w:id="49"/>
      <w:bookmarkEnd w:id="50"/>
      <w:bookmarkEnd w:id="51"/>
      <w:bookmarkEnd w:id="52"/>
    </w:p>
    <w:p>
      <w:pPr>
        <w:snapToGrid w:val="0"/>
        <w:ind w:firstLine="560"/>
        <w:rPr>
          <w:rFonts w:ascii="仿宋" w:hAnsi="仿宋" w:eastAsia="仿宋" w:cs="仿宋"/>
          <w:sz w:val="28"/>
          <w:szCs w:val="28"/>
        </w:rPr>
      </w:pPr>
      <w:r>
        <w:rPr>
          <w:rFonts w:hint="eastAsia" w:ascii="仿宋" w:hAnsi="仿宋" w:eastAsia="仿宋" w:cs="仿宋"/>
          <w:sz w:val="28"/>
          <w:szCs w:val="28"/>
        </w:rPr>
        <w:t>截止2020年五通桥区目前共发育灾害点55处。在55处地质灾害隐患点中崩塌（危岩）39处，占总数的71%，滑坡16处，占总数的29%。地质灾害规模无特大型和大型，中型3处，占比5%，小型52处，占比95%。</w:t>
      </w:r>
    </w:p>
    <w:p>
      <w:pPr>
        <w:snapToGrid w:val="0"/>
        <w:ind w:firstLine="560"/>
        <w:rPr>
          <w:rFonts w:ascii="仿宋" w:hAnsi="仿宋" w:eastAsia="仿宋" w:cs="仿宋"/>
          <w:sz w:val="28"/>
          <w:szCs w:val="28"/>
        </w:rPr>
      </w:pPr>
      <w:bookmarkStart w:id="53" w:name="_Toc10980"/>
      <w:bookmarkStart w:id="54" w:name="_Toc469046105"/>
      <w:bookmarkStart w:id="55" w:name="_Toc107311431"/>
      <w:bookmarkStart w:id="56" w:name="_Toc88274010"/>
      <w:bookmarkStart w:id="57" w:name="_Toc468221673"/>
      <w:bookmarkStart w:id="58" w:name="_Toc468260287"/>
      <w:bookmarkStart w:id="59" w:name="_Toc468259645"/>
      <w:bookmarkStart w:id="60" w:name="_Toc468259783"/>
      <w:r>
        <w:rPr>
          <w:rFonts w:hint="eastAsia" w:ascii="仿宋" w:hAnsi="仿宋" w:eastAsia="仿宋" w:cs="仿宋"/>
          <w:sz w:val="28"/>
          <w:szCs w:val="28"/>
        </w:rPr>
        <w:t>（二）地质灾害分布特征</w:t>
      </w:r>
      <w:bookmarkEnd w:id="53"/>
      <w:bookmarkEnd w:id="54"/>
      <w:bookmarkEnd w:id="55"/>
      <w:bookmarkEnd w:id="56"/>
      <w:bookmarkEnd w:id="57"/>
      <w:bookmarkEnd w:id="58"/>
      <w:bookmarkEnd w:id="59"/>
      <w:bookmarkEnd w:id="60"/>
    </w:p>
    <w:p>
      <w:pPr>
        <w:snapToGrid w:val="0"/>
        <w:ind w:firstLine="560"/>
        <w:rPr>
          <w:rFonts w:ascii="仿宋" w:hAnsi="仿宋" w:eastAsia="仿宋" w:cs="仿宋"/>
          <w:sz w:val="28"/>
          <w:szCs w:val="28"/>
        </w:rPr>
      </w:pPr>
      <w:bookmarkStart w:id="61" w:name="_Toc468259646"/>
      <w:bookmarkStart w:id="62" w:name="_Toc468259784"/>
      <w:bookmarkStart w:id="63" w:name="_Toc88274011"/>
      <w:r>
        <w:rPr>
          <w:rFonts w:hint="eastAsia" w:ascii="仿宋" w:hAnsi="仿宋" w:eastAsia="仿宋" w:cs="仿宋"/>
          <w:sz w:val="28"/>
          <w:szCs w:val="28"/>
        </w:rPr>
        <w:t>1、行政区划上的分布特征</w:t>
      </w:r>
      <w:bookmarkEnd w:id="61"/>
      <w:bookmarkEnd w:id="62"/>
      <w:bookmarkEnd w:id="63"/>
    </w:p>
    <w:p>
      <w:pPr>
        <w:snapToGrid w:val="0"/>
        <w:ind w:firstLine="560"/>
        <w:rPr>
          <w:rFonts w:ascii="仿宋" w:hAnsi="仿宋" w:eastAsia="仿宋" w:cs="仿宋"/>
          <w:sz w:val="28"/>
          <w:szCs w:val="28"/>
        </w:rPr>
      </w:pPr>
      <w:r>
        <w:rPr>
          <w:rFonts w:hint="eastAsia" w:ascii="仿宋" w:hAnsi="仿宋" w:eastAsia="仿宋" w:cs="仿宋"/>
          <w:sz w:val="28"/>
          <w:szCs w:val="28"/>
        </w:rPr>
        <w:t>五通桥区55个地质灾害点分布于7个镇，蔡金镇无地质灾害点。其分布平均面密度0.12处／km</w:t>
      </w:r>
      <w:r>
        <w:rPr>
          <w:rFonts w:hint="eastAsia" w:ascii="仿宋" w:hAnsi="仿宋" w:eastAsia="仿宋" w:cs="仿宋"/>
          <w:sz w:val="28"/>
          <w:szCs w:val="28"/>
          <w:vertAlign w:val="superscript"/>
        </w:rPr>
        <w:t>2</w:t>
      </w:r>
      <w:r>
        <w:rPr>
          <w:rFonts w:hint="eastAsia" w:ascii="仿宋" w:hAnsi="仿宋" w:eastAsia="仿宋" w:cs="仿宋"/>
          <w:sz w:val="28"/>
          <w:szCs w:val="28"/>
        </w:rPr>
        <w:t>。全区地质灾害分布密度最大的石鳞镇为0.26处／km</w:t>
      </w:r>
      <w:r>
        <w:rPr>
          <w:rFonts w:hint="eastAsia" w:ascii="仿宋" w:hAnsi="仿宋" w:eastAsia="仿宋" w:cs="仿宋"/>
          <w:sz w:val="28"/>
          <w:szCs w:val="28"/>
          <w:vertAlign w:val="superscript"/>
        </w:rPr>
        <w:t>2</w:t>
      </w:r>
      <w:r>
        <w:rPr>
          <w:rFonts w:hint="eastAsia" w:ascii="仿宋" w:hAnsi="仿宋" w:eastAsia="仿宋" w:cs="仿宋"/>
          <w:sz w:val="28"/>
          <w:szCs w:val="28"/>
        </w:rPr>
        <w:t>。其地质灾害点数20处，占全区地质灾害总数的36.4％，而面积77.35km</w:t>
      </w:r>
      <w:r>
        <w:rPr>
          <w:rFonts w:hint="eastAsia" w:ascii="仿宋" w:hAnsi="仿宋" w:eastAsia="仿宋" w:cs="仿宋"/>
          <w:sz w:val="28"/>
          <w:szCs w:val="28"/>
          <w:vertAlign w:val="superscript"/>
        </w:rPr>
        <w:t>2</w:t>
      </w:r>
      <w:r>
        <w:rPr>
          <w:rFonts w:hint="eastAsia" w:ascii="仿宋" w:hAnsi="仿宋" w:eastAsia="仿宋" w:cs="仿宋"/>
          <w:sz w:val="28"/>
          <w:szCs w:val="28"/>
        </w:rPr>
        <w:t>，仅占全区面积的16.6％。其次为金山镇0.18处／km</w:t>
      </w:r>
      <w:r>
        <w:rPr>
          <w:rFonts w:hint="eastAsia" w:ascii="仿宋" w:hAnsi="仿宋" w:eastAsia="仿宋" w:cs="仿宋"/>
          <w:sz w:val="28"/>
          <w:szCs w:val="28"/>
          <w:vertAlign w:val="superscript"/>
        </w:rPr>
        <w:t>2</w:t>
      </w:r>
      <w:r>
        <w:rPr>
          <w:rFonts w:hint="eastAsia" w:ascii="仿宋" w:hAnsi="仿宋" w:eastAsia="仿宋" w:cs="仿宋"/>
          <w:sz w:val="28"/>
          <w:szCs w:val="28"/>
        </w:rPr>
        <w:t>。（具体各乡镇的灾害点分布见表3-1）。</w:t>
      </w:r>
    </w:p>
    <w:p>
      <w:pPr>
        <w:adjustRightInd w:val="0"/>
        <w:snapToGrid w:val="0"/>
        <w:ind w:firstLine="2371" w:firstLineChars="984"/>
        <w:rPr>
          <w:rFonts w:ascii="仿宋" w:hAnsi="仿宋" w:eastAsia="仿宋" w:cs="仿宋"/>
          <w:b/>
          <w:szCs w:val="21"/>
          <w:lang w:val="en-GB"/>
        </w:rPr>
      </w:pPr>
      <w:r>
        <w:rPr>
          <w:rFonts w:hint="eastAsia" w:ascii="仿宋" w:hAnsi="仿宋" w:eastAsia="仿宋" w:cs="仿宋"/>
          <w:b/>
          <w:szCs w:val="21"/>
          <w:lang w:val="en-GB"/>
        </w:rPr>
        <w:t>表</w:t>
      </w:r>
      <w:r>
        <w:rPr>
          <w:rFonts w:hint="eastAsia" w:ascii="仿宋" w:hAnsi="仿宋" w:eastAsia="仿宋" w:cs="仿宋"/>
          <w:b/>
          <w:szCs w:val="21"/>
        </w:rPr>
        <w:t>1</w:t>
      </w:r>
      <w:r>
        <w:rPr>
          <w:rFonts w:hint="eastAsia" w:ascii="仿宋" w:hAnsi="仿宋" w:eastAsia="仿宋" w:cs="仿宋"/>
          <w:b/>
          <w:szCs w:val="21"/>
          <w:lang w:val="en-GB"/>
        </w:rPr>
        <w:t>-1    五通桥区各镇地质灾害统计表</w:t>
      </w:r>
    </w:p>
    <w:tbl>
      <w:tblPr>
        <w:tblStyle w:val="33"/>
        <w:tblW w:w="4872" w:type="pct"/>
        <w:tblInd w:w="0" w:type="dxa"/>
        <w:tblLayout w:type="autofit"/>
        <w:tblCellMar>
          <w:top w:w="0" w:type="dxa"/>
          <w:left w:w="108" w:type="dxa"/>
          <w:bottom w:w="0" w:type="dxa"/>
          <w:right w:w="108" w:type="dxa"/>
        </w:tblCellMar>
      </w:tblPr>
      <w:tblGrid>
        <w:gridCol w:w="1135"/>
        <w:gridCol w:w="936"/>
        <w:gridCol w:w="1069"/>
        <w:gridCol w:w="965"/>
        <w:gridCol w:w="1133"/>
        <w:gridCol w:w="965"/>
        <w:gridCol w:w="1198"/>
        <w:gridCol w:w="1427"/>
      </w:tblGrid>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滑坡（处）</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崩塌（危岩）（处）</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地裂缝（处）</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滑坡（处）</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合 计(处)</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面积（km</w:t>
            </w:r>
            <w:r>
              <w:rPr>
                <w:rFonts w:hint="eastAsia" w:ascii="仿宋" w:hAnsi="仿宋" w:eastAsia="仿宋" w:cs="仿宋"/>
                <w:color w:val="000000"/>
                <w:kern w:val="0"/>
                <w:vertAlign w:val="superscript"/>
                <w:lang w:bidi="ar"/>
              </w:rPr>
              <w:t>2</w:t>
            </w:r>
            <w:r>
              <w:rPr>
                <w:rFonts w:hint="eastAsia" w:ascii="仿宋" w:hAnsi="仿宋" w:eastAsia="仿宋" w:cs="仿宋"/>
                <w:color w:val="000000"/>
                <w:kern w:val="0"/>
                <w:lang w:bidi="ar"/>
              </w:rPr>
              <w:t>）</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面积密度（处/km</w:t>
            </w:r>
            <w:r>
              <w:rPr>
                <w:rFonts w:hint="eastAsia" w:ascii="仿宋" w:hAnsi="仿宋" w:eastAsia="仿宋" w:cs="仿宋"/>
                <w:color w:val="000000"/>
                <w:kern w:val="0"/>
                <w:vertAlign w:val="superscript"/>
                <w:lang w:bidi="ar"/>
              </w:rPr>
              <w:t>2</w:t>
            </w:r>
            <w:r>
              <w:rPr>
                <w:rFonts w:hint="eastAsia" w:ascii="仿宋" w:hAnsi="仿宋" w:eastAsia="仿宋" w:cs="仿宋"/>
                <w:color w:val="000000"/>
                <w:kern w:val="0"/>
                <w:lang w:bidi="ar"/>
              </w:rPr>
              <w:t>）</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石麟镇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16</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20</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77.35</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0.26</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金粟镇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52.02</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0.10</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金山镇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12</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14</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76.29</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0.18</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西坝镇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6</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58.61</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0.10</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竹根镇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45.87</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0.11</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牛华镇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4</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64.75</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0.06</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冠英镇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56.08</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0.02</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蔡金镇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34.56</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0.00</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合计</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39</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55</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465.67</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0.12</w:t>
            </w:r>
          </w:p>
        </w:tc>
      </w:tr>
    </w:tbl>
    <w:p>
      <w:pPr>
        <w:snapToGrid w:val="0"/>
        <w:ind w:firstLine="560"/>
        <w:rPr>
          <w:rFonts w:ascii="仿宋" w:hAnsi="仿宋" w:eastAsia="仿宋" w:cs="仿宋"/>
          <w:sz w:val="28"/>
          <w:szCs w:val="28"/>
        </w:rPr>
      </w:pPr>
      <w:bookmarkStart w:id="64" w:name="_Toc468259785"/>
      <w:bookmarkStart w:id="65" w:name="_Toc468259647"/>
      <w:r>
        <w:rPr>
          <w:rFonts w:hint="eastAsia" w:ascii="仿宋" w:hAnsi="仿宋" w:eastAsia="仿宋" w:cs="仿宋"/>
          <w:sz w:val="28"/>
          <w:szCs w:val="28"/>
        </w:rPr>
        <w:t>2、地层岩性上的分布特征</w:t>
      </w:r>
      <w:bookmarkEnd w:id="64"/>
      <w:bookmarkEnd w:id="65"/>
    </w:p>
    <w:p>
      <w:pPr>
        <w:snapToGrid w:val="0"/>
        <w:ind w:firstLine="560"/>
        <w:rPr>
          <w:rFonts w:ascii="仿宋" w:hAnsi="仿宋" w:eastAsia="仿宋" w:cs="仿宋"/>
          <w:sz w:val="28"/>
          <w:szCs w:val="28"/>
        </w:rPr>
      </w:pPr>
      <w:r>
        <w:rPr>
          <w:rFonts w:hint="eastAsia" w:ascii="仿宋" w:hAnsi="仿宋" w:eastAsia="仿宋" w:cs="仿宋"/>
          <w:sz w:val="28"/>
          <w:szCs w:val="28"/>
        </w:rPr>
        <w:t>五通桥区地质灾害分布密度最大的区域在西南部以及中东部，属浅丘、深丘地貌类型。如第四系松散岩组易发育滑坡等地质灾害；硬质岩灰岩，半坚硬长石石英砂岩等易发育崩塌等地质灾害。</w:t>
      </w:r>
    </w:p>
    <w:p>
      <w:pPr>
        <w:snapToGrid w:val="0"/>
        <w:ind w:firstLine="560"/>
        <w:rPr>
          <w:rFonts w:ascii="仿宋" w:hAnsi="仿宋" w:eastAsia="仿宋" w:cs="仿宋"/>
          <w:sz w:val="28"/>
          <w:szCs w:val="28"/>
        </w:rPr>
      </w:pPr>
      <w:bookmarkStart w:id="66" w:name="_Toc468259787"/>
      <w:bookmarkStart w:id="67" w:name="_Toc468259649"/>
      <w:r>
        <w:rPr>
          <w:rFonts w:hint="eastAsia" w:ascii="仿宋" w:hAnsi="仿宋" w:eastAsia="仿宋" w:cs="仿宋"/>
          <w:sz w:val="28"/>
          <w:szCs w:val="28"/>
        </w:rPr>
        <w:t>3、时间分布规律</w:t>
      </w:r>
      <w:bookmarkEnd w:id="66"/>
      <w:bookmarkEnd w:id="67"/>
    </w:p>
    <w:p>
      <w:pPr>
        <w:snapToGrid w:val="0"/>
        <w:ind w:firstLine="560"/>
        <w:rPr>
          <w:rFonts w:ascii="仿宋" w:hAnsi="仿宋" w:eastAsia="仿宋" w:cs="仿宋"/>
          <w:sz w:val="28"/>
          <w:szCs w:val="28"/>
        </w:rPr>
      </w:pPr>
      <w:r>
        <w:rPr>
          <w:rFonts w:hint="eastAsia" w:ascii="仿宋" w:hAnsi="仿宋" w:eastAsia="仿宋" w:cs="仿宋"/>
          <w:sz w:val="28"/>
          <w:szCs w:val="28"/>
        </w:rPr>
        <w:t>区境内地质灾害的时间分布规律主要受外界因素的影响，表现出同发性、滞后性。</w:t>
      </w:r>
    </w:p>
    <w:p>
      <w:pPr>
        <w:snapToGrid w:val="0"/>
        <w:ind w:firstLine="560"/>
        <w:rPr>
          <w:rFonts w:ascii="仿宋" w:hAnsi="仿宋" w:eastAsia="仿宋" w:cs="仿宋"/>
          <w:sz w:val="28"/>
          <w:szCs w:val="28"/>
        </w:rPr>
      </w:pPr>
      <w:r>
        <w:rPr>
          <w:rFonts w:hint="eastAsia" w:ascii="仿宋" w:hAnsi="仿宋" w:eastAsia="仿宋" w:cs="仿宋"/>
          <w:sz w:val="28"/>
          <w:szCs w:val="28"/>
        </w:rPr>
        <w:t>1）同发性</w:t>
      </w:r>
    </w:p>
    <w:p>
      <w:pPr>
        <w:snapToGrid w:val="0"/>
        <w:ind w:firstLine="560"/>
        <w:rPr>
          <w:rFonts w:ascii="仿宋" w:hAnsi="仿宋" w:eastAsia="仿宋" w:cs="仿宋"/>
          <w:sz w:val="28"/>
          <w:szCs w:val="28"/>
        </w:rPr>
      </w:pPr>
      <w:r>
        <w:rPr>
          <w:rFonts w:hint="eastAsia" w:ascii="仿宋" w:hAnsi="仿宋" w:eastAsia="仿宋" w:cs="仿宋"/>
          <w:sz w:val="28"/>
          <w:szCs w:val="28"/>
        </w:rPr>
        <w:t>每年雨季，当降雨时间较长并伴随多次连续大暴雨时，区境内地表破碎岩体或松散土体的抗剪强度降低，原本处于极限平衡状态的斜坡变形体或老滑坡随之触发激活产生地质灾害。</w:t>
      </w:r>
    </w:p>
    <w:p>
      <w:pPr>
        <w:snapToGrid w:val="0"/>
        <w:ind w:firstLine="560"/>
        <w:rPr>
          <w:rFonts w:ascii="仿宋" w:hAnsi="仿宋" w:eastAsia="仿宋" w:cs="仿宋"/>
          <w:sz w:val="28"/>
          <w:szCs w:val="28"/>
        </w:rPr>
      </w:pPr>
      <w:r>
        <w:rPr>
          <w:rFonts w:hint="eastAsia" w:ascii="仿宋" w:hAnsi="仿宋" w:eastAsia="仿宋" w:cs="仿宋"/>
          <w:sz w:val="28"/>
          <w:szCs w:val="28"/>
        </w:rPr>
        <w:t>2）滞后性</w:t>
      </w:r>
    </w:p>
    <w:p>
      <w:pPr>
        <w:snapToGrid w:val="0"/>
        <w:ind w:firstLine="560"/>
        <w:rPr>
          <w:rFonts w:ascii="仿宋" w:hAnsi="仿宋" w:eastAsia="仿宋" w:cs="仿宋"/>
          <w:sz w:val="28"/>
          <w:szCs w:val="28"/>
        </w:rPr>
      </w:pPr>
      <w:r>
        <w:rPr>
          <w:rFonts w:hint="eastAsia" w:ascii="仿宋" w:hAnsi="仿宋" w:eastAsia="仿宋" w:cs="仿宋"/>
          <w:sz w:val="28"/>
          <w:szCs w:val="28"/>
        </w:rPr>
        <w:t>地质灾害体的变形破坏都具有一定的应力释放过程，因此，在时间上就表现为明显滞后特征，滑速表现较缓慢，滑距较小。</w:t>
      </w:r>
    </w:p>
    <w:p>
      <w:pPr>
        <w:pStyle w:val="5"/>
        <w:snapToGrid w:val="0"/>
        <w:spacing w:beforeLines="0"/>
        <w:jc w:val="center"/>
        <w:rPr>
          <w:rStyle w:val="95"/>
          <w:rFonts w:ascii="仿宋" w:hAnsi="仿宋" w:eastAsia="仿宋" w:cs="仿宋"/>
          <w:sz w:val="30"/>
        </w:rPr>
      </w:pPr>
      <w:bookmarkStart w:id="68" w:name="_Toc17737"/>
      <w:bookmarkStart w:id="69" w:name="_Toc22154"/>
      <w:bookmarkStart w:id="70" w:name="_Toc16555"/>
      <w:r>
        <w:rPr>
          <w:rStyle w:val="95"/>
          <w:rFonts w:hint="eastAsia" w:ascii="仿宋" w:hAnsi="仿宋" w:eastAsia="仿宋" w:cs="仿宋"/>
          <w:sz w:val="30"/>
        </w:rPr>
        <w:t>第二节</w:t>
      </w:r>
      <w:r>
        <w:rPr>
          <w:rStyle w:val="95"/>
          <w:rFonts w:hint="eastAsia" w:cs="仿宋"/>
          <w:sz w:val="30"/>
        </w:rPr>
        <w:t xml:space="preserve"> </w:t>
      </w:r>
      <w:r>
        <w:rPr>
          <w:rStyle w:val="95"/>
          <w:rFonts w:hint="eastAsia" w:ascii="仿宋" w:hAnsi="仿宋" w:eastAsia="仿宋" w:cs="仿宋"/>
          <w:sz w:val="30"/>
        </w:rPr>
        <w:t>“十三五”地质灾害防治成效</w:t>
      </w:r>
      <w:bookmarkEnd w:id="68"/>
      <w:bookmarkEnd w:id="69"/>
      <w:bookmarkEnd w:id="70"/>
    </w:p>
    <w:p>
      <w:pPr>
        <w:snapToGrid w:val="0"/>
        <w:ind w:firstLine="560"/>
        <w:rPr>
          <w:rFonts w:ascii="仿宋" w:hAnsi="仿宋" w:eastAsia="仿宋" w:cs="仿宋"/>
          <w:sz w:val="28"/>
          <w:szCs w:val="28"/>
        </w:rPr>
      </w:pPr>
      <w:r>
        <w:rPr>
          <w:rFonts w:hint="eastAsia" w:ascii="仿宋" w:hAnsi="仿宋" w:eastAsia="仿宋" w:cs="仿宋"/>
          <w:sz w:val="28"/>
          <w:szCs w:val="28"/>
        </w:rPr>
        <w:t>“十三五”期间，在五通桥区人民政府的高度重视和领导下，在上级有关部门的指导下，五通桥区上下认真贯彻落实国家关于地质灾害防治的各项决策部署，切实加强以调查评价、监测预警、综合治理和能力建设为核心的地质灾害综合防治体系建设，地质灾害隐患点数量由2016年的91处逐年减少至55处，受威胁对象从1497人减少到1035人，圆满完成了“十三五”规划确定的主要目标和任务，防灾减灾工作取得明显成效。</w:t>
      </w:r>
    </w:p>
    <w:p>
      <w:pPr>
        <w:pStyle w:val="2"/>
        <w:snapToGrid w:val="0"/>
        <w:spacing w:line="360" w:lineRule="auto"/>
        <w:rPr>
          <w:rFonts w:ascii="仿宋" w:hAnsi="仿宋" w:eastAsia="仿宋" w:cs="仿宋"/>
          <w:szCs w:val="28"/>
        </w:rPr>
      </w:pPr>
      <w:r>
        <w:rPr>
          <w:rFonts w:hint="eastAsia" w:ascii="仿宋" w:hAnsi="仿宋" w:eastAsia="仿宋" w:cs="仿宋"/>
          <w:szCs w:val="28"/>
        </w:rPr>
        <w:t>表1-1“十三五”五通桥区地质灾害隐患点数量动态变化表</w:t>
      </w:r>
    </w:p>
    <w:tbl>
      <w:tblPr>
        <w:tblStyle w:val="33"/>
        <w:tblW w:w="9041" w:type="dxa"/>
        <w:jc w:val="center"/>
        <w:tblLayout w:type="autofit"/>
        <w:tblCellMar>
          <w:top w:w="0" w:type="dxa"/>
          <w:left w:w="108" w:type="dxa"/>
          <w:bottom w:w="0" w:type="dxa"/>
          <w:right w:w="108" w:type="dxa"/>
        </w:tblCellMar>
      </w:tblPr>
      <w:tblGrid>
        <w:gridCol w:w="1133"/>
        <w:gridCol w:w="1531"/>
        <w:gridCol w:w="1778"/>
        <w:gridCol w:w="1631"/>
        <w:gridCol w:w="1190"/>
        <w:gridCol w:w="1778"/>
      </w:tblGrid>
      <w:tr>
        <w:tblPrEx>
          <w:tblCellMar>
            <w:top w:w="0" w:type="dxa"/>
            <w:left w:w="108" w:type="dxa"/>
            <w:bottom w:w="0" w:type="dxa"/>
            <w:right w:w="108" w:type="dxa"/>
          </w:tblCellMar>
        </w:tblPrEx>
        <w:trPr>
          <w:trHeight w:val="20" w:hRule="atLeast"/>
          <w:jc w:val="center"/>
        </w:trPr>
        <w:tc>
          <w:tcPr>
            <w:tcW w:w="1134" w:type="dxa"/>
            <w:tcBorders>
              <w:top w:val="single" w:color="000000" w:sz="12"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调查时间</w:t>
            </w:r>
          </w:p>
        </w:tc>
        <w:tc>
          <w:tcPr>
            <w:tcW w:w="0" w:type="auto"/>
            <w:tcBorders>
              <w:top w:val="single" w:color="000000" w:sz="12"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调查前隐患点个数</w:t>
            </w:r>
          </w:p>
        </w:tc>
        <w:tc>
          <w:tcPr>
            <w:tcW w:w="0" w:type="auto"/>
            <w:tcBorders>
              <w:top w:val="single" w:color="000000" w:sz="12"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新发现地质灾害隐患点</w:t>
            </w:r>
          </w:p>
        </w:tc>
        <w:tc>
          <w:tcPr>
            <w:tcW w:w="0" w:type="auto"/>
            <w:tcBorders>
              <w:top w:val="single" w:color="000000" w:sz="12"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核销地质灾害隐患点</w:t>
            </w:r>
          </w:p>
        </w:tc>
        <w:tc>
          <w:tcPr>
            <w:tcW w:w="0" w:type="auto"/>
            <w:tcBorders>
              <w:top w:val="single" w:color="000000" w:sz="12" w:space="0"/>
              <w:left w:val="nil"/>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移交其他部门</w:t>
            </w:r>
          </w:p>
        </w:tc>
        <w:tc>
          <w:tcPr>
            <w:tcW w:w="0" w:type="auto"/>
            <w:tcBorders>
              <w:top w:val="single" w:color="000000" w:sz="12" w:space="0"/>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调查后地质灾害隐患点</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2016年</w:t>
            </w:r>
          </w:p>
        </w:tc>
        <w:tc>
          <w:tcPr>
            <w:tcW w:w="0" w:type="auto"/>
            <w:tcBorders>
              <w:top w:val="single" w:color="000000" w:sz="8"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126</w:t>
            </w:r>
          </w:p>
        </w:tc>
        <w:tc>
          <w:tcPr>
            <w:tcW w:w="0" w:type="auto"/>
            <w:tcBorders>
              <w:top w:val="single" w:color="000000" w:sz="8" w:space="0"/>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single" w:color="000000" w:sz="8"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35</w:t>
            </w:r>
          </w:p>
        </w:tc>
        <w:tc>
          <w:tcPr>
            <w:tcW w:w="0" w:type="auto"/>
            <w:tcBorders>
              <w:top w:val="single" w:color="000000" w:sz="8" w:space="0"/>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single" w:color="000000" w:sz="8" w:space="0"/>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91</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2017年</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91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5</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88</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2018年</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88</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80</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2019年</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80</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25</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55</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2020年</w:t>
            </w:r>
          </w:p>
        </w:tc>
        <w:tc>
          <w:tcPr>
            <w:tcW w:w="0" w:type="auto"/>
            <w:tcBorders>
              <w:top w:val="nil"/>
              <w:left w:val="nil"/>
              <w:bottom w:val="single" w:color="000000" w:sz="12"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55</w:t>
            </w:r>
          </w:p>
        </w:tc>
        <w:tc>
          <w:tcPr>
            <w:tcW w:w="0" w:type="auto"/>
            <w:tcBorders>
              <w:top w:val="nil"/>
              <w:left w:val="nil"/>
              <w:bottom w:val="single" w:color="000000" w:sz="12"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12"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12"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12"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55</w:t>
            </w:r>
          </w:p>
        </w:tc>
      </w:tr>
    </w:tbl>
    <w:p>
      <w:pPr>
        <w:pStyle w:val="6"/>
        <w:snapToGrid w:val="0"/>
        <w:spacing w:beforeLines="0" w:afterLines="0"/>
        <w:ind w:firstLine="562" w:firstLineChars="200"/>
        <w:rPr>
          <w:rFonts w:cs="仿宋"/>
          <w:szCs w:val="28"/>
        </w:rPr>
      </w:pPr>
      <w:bookmarkStart w:id="71" w:name="_Toc317"/>
      <w:bookmarkStart w:id="72" w:name="_Toc16699"/>
      <w:r>
        <w:rPr>
          <w:rFonts w:hint="eastAsia" w:cs="仿宋"/>
          <w:szCs w:val="28"/>
        </w:rPr>
        <w:t>一、组织管理能力明显提升</w:t>
      </w:r>
      <w:bookmarkEnd w:id="71"/>
      <w:bookmarkEnd w:id="72"/>
    </w:p>
    <w:p>
      <w:pPr>
        <w:snapToGrid w:val="0"/>
        <w:ind w:firstLine="560"/>
        <w:rPr>
          <w:rFonts w:ascii="仿宋" w:hAnsi="仿宋" w:eastAsia="仿宋" w:cs="仿宋"/>
          <w:sz w:val="28"/>
          <w:szCs w:val="28"/>
        </w:rPr>
      </w:pPr>
      <w:r>
        <w:rPr>
          <w:rFonts w:hint="eastAsia" w:ascii="仿宋" w:hAnsi="仿宋" w:eastAsia="仿宋" w:cs="仿宋"/>
          <w:sz w:val="28"/>
          <w:szCs w:val="28"/>
        </w:rPr>
        <w:t>构建形成党委领导、政府负责、部门联动、全民参与、专业支撑“五位一体”的地质灾害防治格局；《地质灾害防治条例》、《四川省地质环境管理条例》等法规、规章得到了切实履行；全面贯彻落实汛期值班、险情巡查、灾情速报等制度，地质灾害防治管理工作走上了规范化与制度化的正常轨道；部门综合协调职能逐渐得到发挥，专业地勘单位紧密协作配合的地质灾害应急抢险救援专业支撑体系，应急能力提升明显。</w:t>
      </w:r>
    </w:p>
    <w:p>
      <w:pPr>
        <w:pStyle w:val="6"/>
        <w:snapToGrid w:val="0"/>
        <w:spacing w:beforeLines="0" w:afterLines="0"/>
        <w:ind w:firstLine="562" w:firstLineChars="200"/>
        <w:rPr>
          <w:rFonts w:cs="仿宋"/>
          <w:szCs w:val="28"/>
        </w:rPr>
      </w:pPr>
      <w:bookmarkStart w:id="73" w:name="_Toc18022"/>
      <w:bookmarkStart w:id="74" w:name="_Toc30109"/>
      <w:r>
        <w:rPr>
          <w:rFonts w:hint="eastAsia" w:cs="仿宋"/>
          <w:szCs w:val="28"/>
        </w:rPr>
        <w:t>二、防灾避险机制更趋健全</w:t>
      </w:r>
      <w:bookmarkEnd w:id="73"/>
      <w:bookmarkEnd w:id="74"/>
    </w:p>
    <w:p>
      <w:pPr>
        <w:snapToGrid w:val="0"/>
        <w:ind w:firstLine="560"/>
        <w:rPr>
          <w:rFonts w:ascii="仿宋" w:hAnsi="仿宋" w:eastAsia="仿宋" w:cs="仿宋"/>
          <w:sz w:val="28"/>
          <w:szCs w:val="28"/>
        </w:rPr>
      </w:pPr>
      <w:r>
        <w:rPr>
          <w:rFonts w:hint="eastAsia" w:ascii="仿宋" w:hAnsi="仿宋" w:eastAsia="仿宋" w:cs="仿宋"/>
          <w:sz w:val="28"/>
          <w:szCs w:val="28"/>
        </w:rPr>
        <w:t>坚持“汛前排查、汛期巡查、汛后核查”，推行“雨前排查、雨中巡查、雨后核查”的三查机制及“主动避让、提前避让、预防避让”的三避让原则，常态化落实预警预报、会商调度、动态抽查、联合督查、定期通报、绩效考评等工作机制，防灾主体责任进一步夯实。</w:t>
      </w:r>
    </w:p>
    <w:p>
      <w:pPr>
        <w:pStyle w:val="6"/>
        <w:snapToGrid w:val="0"/>
        <w:spacing w:beforeLines="0" w:afterLines="0"/>
        <w:ind w:firstLine="562" w:firstLineChars="200"/>
        <w:rPr>
          <w:rFonts w:cs="仿宋"/>
          <w:szCs w:val="28"/>
        </w:rPr>
      </w:pPr>
      <w:bookmarkStart w:id="75" w:name="_Toc31885"/>
      <w:bookmarkStart w:id="76" w:name="_Toc4214"/>
      <w:r>
        <w:rPr>
          <w:rFonts w:hint="eastAsia" w:cs="仿宋"/>
          <w:szCs w:val="28"/>
        </w:rPr>
        <w:t>三、监测预防体系不断完善</w:t>
      </w:r>
      <w:bookmarkEnd w:id="75"/>
      <w:bookmarkEnd w:id="76"/>
    </w:p>
    <w:p>
      <w:pPr>
        <w:snapToGrid w:val="0"/>
        <w:ind w:firstLine="560"/>
        <w:rPr>
          <w:rFonts w:ascii="仿宋" w:hAnsi="仿宋" w:eastAsia="仿宋" w:cs="仿宋"/>
          <w:sz w:val="28"/>
          <w:szCs w:val="28"/>
        </w:rPr>
      </w:pPr>
      <w:r>
        <w:rPr>
          <w:rFonts w:hint="eastAsia" w:ascii="仿宋" w:hAnsi="仿宋" w:eastAsia="仿宋" w:cs="仿宋"/>
          <w:sz w:val="28"/>
          <w:szCs w:val="28"/>
        </w:rPr>
        <w:t>“十三五”期间五通桥区建立了群测群防专职监测体系。由市自然资源局领衔的覆盖市、区、镇、村、社、点六级的地质灾害群测群防网络和基层监测员队伍初步建立并逐步完善，对发现的地质灾害隐患点受威胁对象发放地质灾害防灾工作明白卡和防灾避险明白卡，落实了防灾责任人和监测责任人，通过短信平台发送预警信息，并在临灾预报中开始发挥积极作用。调集各方面专家开展群众性地质灾害科普知识的宣传活动，提高了广大干部群众的防灾减灾意识，充分发挥了群测群防体系的作用。</w:t>
      </w:r>
    </w:p>
    <w:p>
      <w:pPr>
        <w:snapToGrid w:val="0"/>
        <w:ind w:firstLine="560"/>
        <w:rPr>
          <w:rFonts w:ascii="仿宋" w:hAnsi="仿宋" w:eastAsia="仿宋" w:cs="仿宋"/>
          <w:sz w:val="28"/>
          <w:szCs w:val="28"/>
        </w:rPr>
      </w:pPr>
      <w:r>
        <w:rPr>
          <w:rFonts w:hint="eastAsia" w:ascii="仿宋" w:hAnsi="仿宋" w:eastAsia="仿宋" w:cs="仿宋"/>
          <w:sz w:val="28"/>
          <w:szCs w:val="28"/>
        </w:rPr>
        <w:t>探索开展地质灾害自动化专业监测预警体系建设，“群测群防、群专结合”的地质灾害监测预警体系开始发挥作用。</w:t>
      </w:r>
    </w:p>
    <w:p>
      <w:pPr>
        <w:pStyle w:val="6"/>
        <w:snapToGrid w:val="0"/>
        <w:spacing w:beforeLines="0" w:afterLines="0"/>
        <w:ind w:firstLine="562" w:firstLineChars="200"/>
        <w:rPr>
          <w:rFonts w:cs="仿宋"/>
          <w:szCs w:val="28"/>
        </w:rPr>
      </w:pPr>
      <w:bookmarkStart w:id="77" w:name="_Toc14112"/>
      <w:bookmarkStart w:id="78" w:name="_Toc18784"/>
      <w:r>
        <w:rPr>
          <w:rFonts w:hint="eastAsia" w:cs="仿宋"/>
          <w:szCs w:val="28"/>
        </w:rPr>
        <w:t>四、地质灾害防治项目有力推进</w:t>
      </w:r>
      <w:bookmarkEnd w:id="77"/>
      <w:bookmarkEnd w:id="78"/>
    </w:p>
    <w:p>
      <w:pPr>
        <w:snapToGrid w:val="0"/>
        <w:ind w:firstLine="560"/>
        <w:rPr>
          <w:rFonts w:ascii="仿宋" w:hAnsi="仿宋" w:eastAsia="仿宋" w:cs="仿宋"/>
          <w:sz w:val="28"/>
          <w:szCs w:val="28"/>
        </w:rPr>
      </w:pPr>
      <w:r>
        <w:rPr>
          <w:rFonts w:hint="eastAsia" w:ascii="仿宋" w:hAnsi="仿宋" w:eastAsia="仿宋" w:cs="仿宋"/>
          <w:sz w:val="28"/>
          <w:szCs w:val="28"/>
        </w:rPr>
        <w:t>五通桥区每年度均进行了汛期地质灾害动态排查，随着地质灾害调查工作的深入开展、治理工程的实施，我区地质灾害现状发生了重大变化，特别是“4.20”芦山地震及2020年五通桥区范围内连续经历“8.10-8.13”，“8.15-8.18”极端天气发生后，我区地质灾害发生了新的变化，针对这一情况，五通桥区政府对地质灾害的防治工作极为重视，地质灾害调查和地质灾害应急排查工作结束后，区政府积极落实调查报告中的地质灾害防治措施，对地质灾害隐患点按轻重缓急分别实施了避险搬迁、支挡、清除等经济合理的治理方案，使全区地质灾害的险情得到了有效控制。</w:t>
      </w:r>
    </w:p>
    <w:p>
      <w:pPr>
        <w:pStyle w:val="5"/>
        <w:snapToGrid w:val="0"/>
        <w:spacing w:beforeLines="0"/>
        <w:jc w:val="center"/>
        <w:rPr>
          <w:rStyle w:val="95"/>
          <w:rFonts w:ascii="仿宋" w:hAnsi="仿宋" w:eastAsia="仿宋" w:cs="仿宋"/>
          <w:sz w:val="30"/>
        </w:rPr>
      </w:pPr>
      <w:bookmarkStart w:id="79" w:name="_Toc26241"/>
      <w:bookmarkStart w:id="80" w:name="_Toc28419"/>
      <w:bookmarkStart w:id="81" w:name="_Toc11757"/>
      <w:r>
        <w:rPr>
          <w:rStyle w:val="95"/>
          <w:rFonts w:hint="eastAsia" w:ascii="仿宋" w:hAnsi="仿宋" w:eastAsia="仿宋" w:cs="仿宋"/>
          <w:sz w:val="30"/>
        </w:rPr>
        <w:t>第三节</w:t>
      </w:r>
      <w:r>
        <w:rPr>
          <w:rStyle w:val="95"/>
          <w:rFonts w:hint="eastAsia" w:cs="仿宋"/>
          <w:sz w:val="30"/>
        </w:rPr>
        <w:t xml:space="preserve"> </w:t>
      </w:r>
      <w:r>
        <w:rPr>
          <w:rStyle w:val="95"/>
          <w:rFonts w:hint="eastAsia" w:ascii="仿宋" w:hAnsi="仿宋" w:eastAsia="仿宋" w:cs="仿宋"/>
          <w:sz w:val="30"/>
        </w:rPr>
        <w:t>“十四五”地质灾害防治形势</w:t>
      </w:r>
      <w:bookmarkEnd w:id="79"/>
      <w:bookmarkEnd w:id="80"/>
      <w:bookmarkEnd w:id="81"/>
    </w:p>
    <w:p>
      <w:pPr>
        <w:pStyle w:val="6"/>
        <w:snapToGrid w:val="0"/>
        <w:spacing w:beforeLines="0" w:afterLines="0"/>
        <w:ind w:firstLine="562" w:firstLineChars="200"/>
        <w:rPr>
          <w:rFonts w:cs="仿宋"/>
          <w:szCs w:val="28"/>
        </w:rPr>
      </w:pPr>
      <w:bookmarkStart w:id="82" w:name="_Toc6275"/>
      <w:bookmarkStart w:id="83" w:name="_Toc3928"/>
      <w:r>
        <w:rPr>
          <w:rFonts w:hint="eastAsia" w:cs="仿宋"/>
          <w:szCs w:val="28"/>
        </w:rPr>
        <w:t>一、问题与挑战</w:t>
      </w:r>
      <w:bookmarkEnd w:id="82"/>
      <w:bookmarkEnd w:id="83"/>
    </w:p>
    <w:p>
      <w:pPr>
        <w:snapToGrid w:val="0"/>
        <w:ind w:firstLine="560"/>
        <w:rPr>
          <w:rFonts w:ascii="仿宋" w:hAnsi="仿宋" w:eastAsia="仿宋" w:cs="仿宋"/>
          <w:sz w:val="28"/>
          <w:szCs w:val="28"/>
        </w:rPr>
      </w:pPr>
      <w:r>
        <w:rPr>
          <w:rFonts w:hint="eastAsia" w:ascii="仿宋" w:hAnsi="仿宋" w:eastAsia="仿宋" w:cs="仿宋"/>
          <w:sz w:val="28"/>
          <w:szCs w:val="28"/>
        </w:rPr>
        <w:t>2020年是全面建成小康社会和“十三五”规划的收官之年，今后五年是我区经济和社会发展承前启后、继往开来的又一个重要时期，随着经济社会持续快速发展和资源消耗不断增长，城市（镇）化进程的快速推进，人类工程经济活动不断加速，特别是“4.20”芦山地震及2020年五通桥区范围内连续经历“8.10-8.13”、“8.15-8.18”极端天气造成地质环境条件恶化，地质环境压力不断增大，全区地质灾害高发、频发、群发的趋势将继续存在。虽然在过去的五年里，全区地质灾害防治工作取得了显著成绩，保护了广大受威胁群众的生命，最大限度减少了财产损失，但是地质灾害防治工作仍然面临诸多问题和挑战。</w:t>
      </w:r>
    </w:p>
    <w:p>
      <w:pPr>
        <w:snapToGrid w:val="0"/>
        <w:ind w:firstLine="560"/>
        <w:rPr>
          <w:rFonts w:ascii="仿宋" w:hAnsi="仿宋" w:eastAsia="仿宋" w:cs="仿宋"/>
          <w:sz w:val="28"/>
          <w:szCs w:val="28"/>
        </w:rPr>
      </w:pPr>
      <w:r>
        <w:rPr>
          <w:rFonts w:hint="eastAsia" w:ascii="仿宋" w:hAnsi="仿宋" w:eastAsia="仿宋" w:cs="仿宋"/>
          <w:sz w:val="28"/>
          <w:szCs w:val="28"/>
        </w:rPr>
        <w:t>1、地质环境条件较复杂，局地地质灾害易发性明显</w:t>
      </w:r>
    </w:p>
    <w:p>
      <w:pPr>
        <w:snapToGrid w:val="0"/>
        <w:ind w:firstLine="560"/>
        <w:rPr>
          <w:rFonts w:ascii="仿宋" w:hAnsi="仿宋" w:eastAsia="仿宋" w:cs="仿宋"/>
          <w:sz w:val="28"/>
          <w:szCs w:val="28"/>
        </w:rPr>
      </w:pPr>
      <w:r>
        <w:rPr>
          <w:rFonts w:hint="eastAsia" w:ascii="仿宋" w:hAnsi="仿宋" w:eastAsia="仿宋" w:cs="仿宋"/>
          <w:sz w:val="28"/>
          <w:szCs w:val="28"/>
        </w:rPr>
        <w:t xml:space="preserve">五通桥区复杂多样的地形地貌、地质构造和气候特点，地质环境条件十分脆弱，区域性和局地强降雨突出，地质灾害仍将长期呈易发多发态势。据气象部门预测，未来极端天气气候事件趋多趋强，降雨呈增多趋势，高位远程崩滑灾害防不胜防，加之各类工程活动影响不断加剧，地质灾害隐患风险持续高位运行，防范应对形势更为复杂。 </w:t>
      </w:r>
    </w:p>
    <w:p>
      <w:pPr>
        <w:snapToGrid w:val="0"/>
        <w:ind w:firstLine="560"/>
        <w:rPr>
          <w:rFonts w:ascii="仿宋" w:hAnsi="仿宋" w:eastAsia="仿宋" w:cs="仿宋"/>
          <w:sz w:val="28"/>
          <w:szCs w:val="28"/>
        </w:rPr>
      </w:pPr>
      <w:r>
        <w:rPr>
          <w:rFonts w:hint="eastAsia" w:ascii="仿宋" w:hAnsi="仿宋" w:eastAsia="仿宋" w:cs="仿宋"/>
          <w:sz w:val="28"/>
          <w:szCs w:val="28"/>
        </w:rPr>
        <w:t>2、工程建设剧增及局地极端气候加剧，防灾压力增大</w:t>
      </w:r>
    </w:p>
    <w:p>
      <w:pPr>
        <w:snapToGrid w:val="0"/>
        <w:ind w:firstLine="560"/>
        <w:rPr>
          <w:rFonts w:ascii="仿宋" w:hAnsi="仿宋" w:eastAsia="仿宋" w:cs="仿宋"/>
          <w:sz w:val="28"/>
          <w:szCs w:val="28"/>
        </w:rPr>
      </w:pPr>
      <w:r>
        <w:rPr>
          <w:rFonts w:hint="eastAsia" w:ascii="仿宋" w:hAnsi="仿宋" w:eastAsia="仿宋" w:cs="仿宋"/>
          <w:sz w:val="28"/>
          <w:szCs w:val="28"/>
        </w:rPr>
        <w:t>“十三五”期间，大规模的基础设施建设活动对地质环境的扰动和改造不断加剧，其影响深度和广度不断增加，难免导致或加剧地质灾害，使之呈不断上升趋势。加之在全球变暖的背景下，极端天气出现的频率将会增加。特别是山区、沟谷这些地质环境脆弱地带工程建设极易诱发滑坡、崩塌、泥石流等灾害，加之施工人员流动性强，对周围环境不熟，避险经验欠缺，一旦成灾，极可能造成重大群死群伤事件，地质灾害防灾压力大增。</w:t>
      </w:r>
    </w:p>
    <w:p>
      <w:pPr>
        <w:snapToGrid w:val="0"/>
        <w:ind w:firstLine="560"/>
        <w:rPr>
          <w:rFonts w:ascii="仿宋" w:hAnsi="仿宋" w:eastAsia="仿宋" w:cs="仿宋"/>
          <w:sz w:val="28"/>
          <w:szCs w:val="28"/>
        </w:rPr>
      </w:pPr>
      <w:r>
        <w:rPr>
          <w:rFonts w:hint="eastAsia" w:ascii="仿宋" w:hAnsi="仿宋" w:eastAsia="仿宋" w:cs="仿宋"/>
          <w:sz w:val="28"/>
          <w:szCs w:val="28"/>
        </w:rPr>
        <w:t>3、地质灾害综合防治面临新挑战</w:t>
      </w:r>
    </w:p>
    <w:p>
      <w:pPr>
        <w:snapToGrid w:val="0"/>
        <w:ind w:firstLine="560"/>
        <w:rPr>
          <w:rFonts w:ascii="仿宋" w:hAnsi="仿宋" w:eastAsia="仿宋" w:cs="仿宋"/>
          <w:sz w:val="28"/>
          <w:szCs w:val="28"/>
        </w:rPr>
      </w:pPr>
      <w:r>
        <w:rPr>
          <w:rFonts w:hint="eastAsia" w:ascii="仿宋" w:hAnsi="仿宋" w:eastAsia="仿宋" w:cs="仿宋"/>
          <w:sz w:val="28"/>
          <w:szCs w:val="28"/>
        </w:rPr>
        <w:t>当前，全区地质灾害隐患风险底数掌握还不够准确，由地质灾害单点防范到隐患、风险双控模式仍在摸索尝试。地质灾害避险移民搬迁进入攻坚期，场镇、村组等人口聚居区不同程度受到地质灾害威胁，综合防治任务繁重。</w:t>
      </w:r>
    </w:p>
    <w:p>
      <w:pPr>
        <w:snapToGrid w:val="0"/>
        <w:ind w:firstLine="560"/>
        <w:rPr>
          <w:rFonts w:ascii="仿宋" w:hAnsi="仿宋" w:eastAsia="仿宋" w:cs="仿宋"/>
          <w:sz w:val="28"/>
          <w:szCs w:val="28"/>
        </w:rPr>
      </w:pPr>
      <w:r>
        <w:rPr>
          <w:rFonts w:hint="eastAsia" w:ascii="仿宋" w:hAnsi="仿宋" w:eastAsia="仿宋" w:cs="仿宋"/>
          <w:sz w:val="28"/>
          <w:szCs w:val="28"/>
        </w:rPr>
        <w:t>4、科技防灾能力同高质量发展要求还有差距</w:t>
      </w:r>
    </w:p>
    <w:p>
      <w:pPr>
        <w:snapToGrid w:val="0"/>
        <w:ind w:firstLine="560"/>
        <w:rPr>
          <w:rFonts w:ascii="仿宋" w:hAnsi="仿宋" w:eastAsia="仿宋" w:cs="仿宋"/>
          <w:sz w:val="28"/>
          <w:szCs w:val="28"/>
        </w:rPr>
      </w:pPr>
      <w:r>
        <w:rPr>
          <w:rFonts w:hint="eastAsia" w:ascii="仿宋" w:hAnsi="仿宋" w:eastAsia="仿宋" w:cs="仿宋"/>
          <w:sz w:val="28"/>
          <w:szCs w:val="28"/>
        </w:rPr>
        <w:t>五通桥区以丘陵为主，植被茂密，地质灾害隐蔽性、突发性和动态性强，“十三五”期间多处地质灾害发生在已查明的隐患点范围外。如何破解“隐患在哪里”难题，对提升地质灾害隐患识别能力提出更高要求。现有监测设备在可靠性、耐久性、经济性等方面还需提升，预警模型还不成熟，科学判识“灾害何时发生”，预警准确度亟待提高。基层防灾能力、新型智能化装备设备研发应用和地质灾害信息化支撑能力有待加强。</w:t>
      </w:r>
    </w:p>
    <w:p>
      <w:pPr>
        <w:pStyle w:val="6"/>
        <w:snapToGrid w:val="0"/>
        <w:spacing w:beforeLines="0" w:afterLines="0"/>
        <w:ind w:firstLine="562" w:firstLineChars="200"/>
        <w:rPr>
          <w:rFonts w:cs="仿宋"/>
          <w:szCs w:val="28"/>
        </w:rPr>
      </w:pPr>
      <w:bookmarkStart w:id="84" w:name="_Toc27068"/>
      <w:bookmarkStart w:id="85" w:name="_Toc18198"/>
      <w:r>
        <w:rPr>
          <w:rFonts w:hint="eastAsia" w:cs="仿宋"/>
          <w:szCs w:val="28"/>
        </w:rPr>
        <w:t>二、发展机遇</w:t>
      </w:r>
      <w:bookmarkEnd w:id="84"/>
      <w:bookmarkEnd w:id="85"/>
    </w:p>
    <w:p>
      <w:pPr>
        <w:snapToGrid w:val="0"/>
        <w:ind w:firstLine="560"/>
        <w:rPr>
          <w:rFonts w:ascii="仿宋" w:hAnsi="仿宋" w:eastAsia="仿宋" w:cs="仿宋"/>
          <w:sz w:val="28"/>
          <w:szCs w:val="28"/>
        </w:rPr>
      </w:pPr>
      <w:r>
        <w:rPr>
          <w:rFonts w:hint="eastAsia" w:ascii="仿宋" w:hAnsi="仿宋" w:eastAsia="仿宋" w:cs="仿宋"/>
          <w:sz w:val="28"/>
          <w:szCs w:val="28"/>
        </w:rPr>
        <w:t>“十四五”时期，国际国内发展环境面临深刻复杂变化，新一轮科技革命和产业变革深入发展，以国内大循环为主体、国内国际双循环相互促进的新发展格局正在加快构建。今后五年，西南地区战略位势和发展动能更加凸显，五通桥区经济社会发展面临新机遇新挑战，实现社会安定和谐，对地质灾害防治工作提出了更高要求。</w:t>
      </w:r>
    </w:p>
    <w:p>
      <w:pPr>
        <w:snapToGrid w:val="0"/>
        <w:ind w:firstLine="560"/>
        <w:rPr>
          <w:rFonts w:ascii="仿宋" w:hAnsi="仿宋" w:eastAsia="仿宋" w:cs="仿宋"/>
          <w:sz w:val="28"/>
          <w:szCs w:val="28"/>
        </w:rPr>
      </w:pPr>
      <w:r>
        <w:rPr>
          <w:rFonts w:hint="eastAsia" w:ascii="仿宋" w:hAnsi="仿宋" w:eastAsia="仿宋" w:cs="仿宋"/>
          <w:sz w:val="28"/>
          <w:szCs w:val="28"/>
        </w:rPr>
        <w:t>一是统筹发展和安全，牢牢守住安全发展底线为地质灾害防治指明了方向。习近平总书记多次就地质灾害防治工作作出重要指示，提出“两个坚持、三个转变”防灾减灾救灾重要论述精神。党的十九届五中全会明确提出，要“建设更高水平的平安中国”“提高防灾减灾抗灾救灾能力”“提升洪涝干旱、森林草原火灾、地质灾害、气象灾害、地震等自然灾害防御工程标准”。2020年6月，国务院部署开展第一次全国自然灾害综合风险普查工作，明确将地质灾害作为重点普查对象。四川省第十三届人民代表大会第四次会议批准通过的《四川省国民经济和社会发展第十四个五年规划和二〇三五年远景目标纲要》提出要“统筹发展和安全，建设更高水平的法治四川和平安四川”，明确要求</w:t>
      </w:r>
      <w:bookmarkStart w:id="86" w:name="_Hlk64646193"/>
      <w:r>
        <w:rPr>
          <w:rFonts w:hint="eastAsia" w:ascii="仿宋" w:hAnsi="仿宋" w:eastAsia="仿宋" w:cs="仿宋"/>
          <w:sz w:val="28"/>
          <w:szCs w:val="28"/>
        </w:rPr>
        <w:t>“加强洪涝干旱、森林草原火灾、地质灾害、地震等领域监测预警和防灾减灾救灾能力建设</w:t>
      </w:r>
      <w:bookmarkEnd w:id="86"/>
      <w:r>
        <w:rPr>
          <w:rFonts w:hint="eastAsia" w:ascii="仿宋" w:hAnsi="仿宋" w:eastAsia="仿宋" w:cs="仿宋"/>
          <w:sz w:val="28"/>
          <w:szCs w:val="28"/>
        </w:rPr>
        <w:t>”“有效应对各类风险挑战”，切实保护人民群众生命财产安全。</w:t>
      </w:r>
    </w:p>
    <w:p>
      <w:pPr>
        <w:snapToGrid w:val="0"/>
        <w:ind w:firstLine="560"/>
        <w:rPr>
          <w:rFonts w:ascii="仿宋" w:hAnsi="仿宋" w:eastAsia="仿宋" w:cs="仿宋"/>
          <w:sz w:val="28"/>
          <w:szCs w:val="28"/>
        </w:rPr>
      </w:pPr>
      <w:r>
        <w:rPr>
          <w:rFonts w:hint="eastAsia" w:ascii="仿宋" w:hAnsi="仿宋" w:eastAsia="仿宋" w:cs="仿宋"/>
          <w:sz w:val="28"/>
          <w:szCs w:val="28"/>
        </w:rPr>
        <w:t>二是融入新发展格局为加快推进地质灾害防治体系和治理能力现代化建设提供有利契机。落实《中华人民共和国长江保护法》关于“加强长江流域洪涝干旱、森林草原火灾、地质灾害、地震等灾害的监测预报预警、防御、应急处置与恢复重建体系建设”重大决策，以治理保安全，以安全促发展，为实现全区经济行稳致远、社会安定和谐提供地质安全保障。</w:t>
      </w:r>
    </w:p>
    <w:p>
      <w:pPr>
        <w:pStyle w:val="4"/>
        <w:snapToGrid w:val="0"/>
        <w:spacing w:before="0" w:after="0" w:line="360" w:lineRule="auto"/>
        <w:rPr>
          <w:rFonts w:cs="仿宋"/>
          <w:b/>
          <w:bCs/>
        </w:rPr>
      </w:pPr>
      <w:bookmarkStart w:id="87" w:name="_Toc468259621"/>
      <w:bookmarkStart w:id="88" w:name="_Toc144182617"/>
      <w:bookmarkStart w:id="89" w:name="_Toc469046090"/>
      <w:bookmarkStart w:id="90" w:name="_Toc138319858"/>
      <w:bookmarkStart w:id="91" w:name="_Toc12369"/>
      <w:bookmarkStart w:id="92" w:name="_Toc2375"/>
      <w:bookmarkStart w:id="93" w:name="_Toc143011864"/>
      <w:bookmarkStart w:id="94" w:name="_Toc195378378"/>
      <w:bookmarkStart w:id="95" w:name="_Toc143008148"/>
      <w:bookmarkStart w:id="96" w:name="_Toc468259759"/>
      <w:bookmarkStart w:id="97" w:name="_Toc143011748"/>
      <w:bookmarkStart w:id="98" w:name="_Toc27676"/>
      <w:bookmarkStart w:id="99" w:name="_Toc1072"/>
      <w:r>
        <w:rPr>
          <w:rFonts w:hint="eastAsia" w:cs="仿宋"/>
          <w:b/>
          <w:bCs/>
        </w:rPr>
        <w:t>第二章  自然地理及社会经济概况</w:t>
      </w:r>
      <w:bookmarkEnd w:id="87"/>
      <w:bookmarkEnd w:id="88"/>
      <w:bookmarkEnd w:id="89"/>
      <w:bookmarkEnd w:id="90"/>
      <w:bookmarkEnd w:id="91"/>
      <w:bookmarkEnd w:id="92"/>
      <w:bookmarkEnd w:id="93"/>
      <w:bookmarkEnd w:id="94"/>
      <w:bookmarkEnd w:id="95"/>
      <w:bookmarkEnd w:id="96"/>
      <w:bookmarkEnd w:id="97"/>
      <w:bookmarkEnd w:id="98"/>
      <w:bookmarkEnd w:id="99"/>
    </w:p>
    <w:p>
      <w:pPr>
        <w:pStyle w:val="5"/>
        <w:snapToGrid w:val="0"/>
        <w:spacing w:beforeLines="0"/>
        <w:jc w:val="center"/>
        <w:rPr>
          <w:rStyle w:val="95"/>
          <w:rFonts w:ascii="仿宋" w:hAnsi="仿宋" w:eastAsia="仿宋" w:cs="仿宋"/>
          <w:sz w:val="30"/>
        </w:rPr>
      </w:pPr>
      <w:bookmarkStart w:id="100" w:name="_Toc469046091"/>
      <w:bookmarkStart w:id="101" w:name="_Toc468259622"/>
      <w:bookmarkStart w:id="102" w:name="_Toc17017"/>
      <w:bookmarkStart w:id="103" w:name="_Toc143011749"/>
      <w:bookmarkStart w:id="104" w:name="_Toc10961"/>
      <w:bookmarkStart w:id="105" w:name="_Toc5616"/>
      <w:bookmarkStart w:id="106" w:name="_Toc468260275"/>
      <w:bookmarkStart w:id="107" w:name="_Toc468221657"/>
      <w:bookmarkStart w:id="108" w:name="_Toc143008149"/>
      <w:bookmarkStart w:id="109" w:name="_Toc22063"/>
      <w:bookmarkStart w:id="110" w:name="_Toc468259760"/>
      <w:r>
        <w:rPr>
          <w:rStyle w:val="95"/>
          <w:rFonts w:hint="eastAsia" w:ascii="仿宋" w:hAnsi="仿宋" w:eastAsia="仿宋" w:cs="仿宋"/>
          <w:sz w:val="30"/>
        </w:rPr>
        <w:t>第一节  自然地理和交通</w:t>
      </w:r>
      <w:bookmarkEnd w:id="100"/>
      <w:bookmarkEnd w:id="101"/>
      <w:bookmarkEnd w:id="102"/>
      <w:bookmarkEnd w:id="103"/>
      <w:bookmarkEnd w:id="104"/>
      <w:bookmarkEnd w:id="105"/>
      <w:bookmarkEnd w:id="106"/>
      <w:bookmarkEnd w:id="107"/>
      <w:bookmarkEnd w:id="108"/>
      <w:bookmarkEnd w:id="109"/>
      <w:bookmarkEnd w:id="110"/>
    </w:p>
    <w:p>
      <w:pPr>
        <w:snapToGrid w:val="0"/>
        <w:ind w:firstLine="560"/>
        <w:rPr>
          <w:rFonts w:ascii="仿宋" w:hAnsi="仿宋" w:eastAsia="仿宋" w:cs="仿宋"/>
          <w:sz w:val="28"/>
          <w:szCs w:val="28"/>
        </w:rPr>
      </w:pPr>
      <w:r>
        <w:rPr>
          <w:rFonts w:hint="eastAsia" w:ascii="仿宋" w:hAnsi="仿宋" w:eastAsia="仿宋" w:cs="仿宋"/>
          <w:sz w:val="28"/>
          <w:szCs w:val="28"/>
        </w:rPr>
        <w:t>五通桥区位于四川盆地西南部，北接乐山市市中区，南邻犍为县，西交于沙湾区，东与自贡、内江接壤。距乐山市20km。地理坐标：东经103°39′～103°56′，北纬29°17′～29°31′，幅员面积465.67km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snapToGrid w:val="0"/>
        <w:ind w:firstLine="560"/>
        <w:rPr>
          <w:rFonts w:ascii="仿宋" w:hAnsi="仿宋" w:eastAsia="仿宋" w:cs="仿宋"/>
          <w:sz w:val="28"/>
          <w:szCs w:val="28"/>
        </w:rPr>
      </w:pPr>
      <w:r>
        <w:rPr>
          <w:rFonts w:hint="eastAsia" w:ascii="仿宋" w:hAnsi="仿宋" w:eastAsia="仿宋" w:cs="仿宋"/>
          <w:sz w:val="28"/>
          <w:szCs w:val="28"/>
        </w:rPr>
        <w:t>五通桥区的交通运输以公路运输为主。区境内有国道30km、省道104线10.6km、县道67.7km、乡道223.1km、村道756km，路网总里程达1087.4km，全区已有水泥路47条313km，公路密度为229.3km/百km</w:t>
      </w:r>
      <w:r>
        <w:rPr>
          <w:rFonts w:hint="eastAsia" w:ascii="仿宋" w:hAnsi="仿宋" w:eastAsia="仿宋" w:cs="仿宋"/>
          <w:sz w:val="28"/>
          <w:szCs w:val="28"/>
          <w:vertAlign w:val="superscript"/>
        </w:rPr>
        <w:t>2</w:t>
      </w:r>
      <w:r>
        <w:rPr>
          <w:rFonts w:hint="eastAsia" w:ascii="仿宋" w:hAnsi="仿宋" w:eastAsia="仿宋" w:cs="仿宋"/>
          <w:sz w:val="28"/>
          <w:szCs w:val="28"/>
        </w:rPr>
        <w:t>，已形成了纵横交错的公路交通网络。</w:t>
      </w:r>
    </w:p>
    <w:p>
      <w:pPr>
        <w:snapToGrid w:val="0"/>
        <w:ind w:firstLine="560"/>
        <w:rPr>
          <w:rFonts w:ascii="仿宋" w:hAnsi="仿宋" w:eastAsia="仿宋" w:cs="仿宋"/>
          <w:sz w:val="28"/>
          <w:szCs w:val="28"/>
        </w:rPr>
      </w:pPr>
      <w:r>
        <w:rPr>
          <w:rFonts w:hint="eastAsia" w:ascii="仿宋" w:hAnsi="仿宋" w:eastAsia="仿宋" w:cs="仿宋"/>
          <w:sz w:val="28"/>
          <w:szCs w:val="28"/>
        </w:rPr>
        <w:t>乐宜高速公路是国家高速公路网成渝环线高速公路的重点路段，该高速路西接成乐高速公路（成都—乐山）和乐汉高速公路，东连内宜高速（内江—宜宾），并与宜水高速（宜宾—云南水富），乐雅高速（乐山—雅安）、宜泸高速（宜宾—泸州）相连。</w:t>
      </w:r>
    </w:p>
    <w:p>
      <w:pPr>
        <w:snapToGrid w:val="0"/>
        <w:ind w:firstLine="560"/>
        <w:rPr>
          <w:rFonts w:ascii="仿宋" w:hAnsi="仿宋" w:eastAsia="仿宋" w:cs="仿宋"/>
          <w:sz w:val="28"/>
          <w:szCs w:val="28"/>
        </w:rPr>
      </w:pPr>
      <w:r>
        <w:rPr>
          <w:rFonts w:hint="eastAsia" w:ascii="仿宋" w:hAnsi="仿宋" w:eastAsia="仿宋" w:cs="仿宋"/>
          <w:sz w:val="28"/>
          <w:szCs w:val="28"/>
        </w:rPr>
        <w:t>五通桥区水上运输以岷江为主，岷江由北向南贯穿五通桥，上接乐山市中区，下通宜宾至重庆等地，是乐山市水路大件运输和出口物资的重要通道之一。全区水路通航里程达75公里，其中四级以上通航里程35公里。现建有年吞吐能力30万吨的五通港桥沟码头，拥有两个500吨级泊位，1450平方堆场。</w:t>
      </w:r>
    </w:p>
    <w:p>
      <w:pPr>
        <w:snapToGrid w:val="0"/>
        <w:ind w:firstLine="560"/>
        <w:rPr>
          <w:rFonts w:ascii="仿宋" w:hAnsi="仿宋" w:eastAsia="仿宋" w:cs="仿宋"/>
          <w:sz w:val="28"/>
          <w:szCs w:val="28"/>
        </w:rPr>
      </w:pPr>
      <w:r>
        <w:rPr>
          <w:rFonts w:hint="eastAsia" w:ascii="仿宋" w:hAnsi="仿宋" w:eastAsia="仿宋" w:cs="仿宋"/>
          <w:sz w:val="28"/>
          <w:szCs w:val="28"/>
        </w:rPr>
        <w:t>五通桥区各镇、村均有公路相通，区境内交通较为便利，详见交通位置示意图。</w:t>
      </w:r>
    </w:p>
    <w:p>
      <w:pPr>
        <w:snapToGrid w:val="0"/>
        <w:ind w:firstLine="0" w:firstLineChars="0"/>
        <w:jc w:val="center"/>
      </w:pPr>
      <w:r>
        <w:drawing>
          <wp:inline distT="0" distB="0" distL="0" distR="0">
            <wp:extent cx="5165725" cy="4396105"/>
            <wp:effectExtent l="0" t="0" r="0" b="0"/>
            <wp:docPr id="9" name="图片 93" descr="五通桥交通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3" descr="五通桥交通图"/>
                    <pic:cNvPicPr>
                      <a:picLocks noChangeAspect="1"/>
                    </pic:cNvPicPr>
                  </pic:nvPicPr>
                  <pic:blipFill>
                    <a:blip r:embed="rId22">
                      <a:extLst>
                        <a:ext uri="{28A0092B-C50C-407E-A947-70E740481C1C}">
                          <a14:useLocalDpi xmlns:a14="http://schemas.microsoft.com/office/drawing/2010/main" val="0"/>
                        </a:ext>
                      </a:extLst>
                    </a:blip>
                    <a:srcRect l="8737" r="8484"/>
                    <a:stretch>
                      <a:fillRect/>
                    </a:stretch>
                  </pic:blipFill>
                  <pic:spPr>
                    <a:xfrm>
                      <a:off x="0" y="0"/>
                      <a:ext cx="5171072" cy="4401106"/>
                    </a:xfrm>
                    <a:prstGeom prst="rect">
                      <a:avLst/>
                    </a:prstGeom>
                    <a:noFill/>
                    <a:ln>
                      <a:noFill/>
                    </a:ln>
                  </pic:spPr>
                </pic:pic>
              </a:graphicData>
            </a:graphic>
          </wp:inline>
        </w:drawing>
      </w:r>
    </w:p>
    <w:p>
      <w:pPr>
        <w:snapToGrid w:val="0"/>
        <w:ind w:firstLine="422"/>
        <w:jc w:val="center"/>
        <w:rPr>
          <w:rFonts w:ascii="仿宋" w:hAnsi="仿宋" w:eastAsia="仿宋" w:cs="仿宋"/>
          <w:b/>
          <w:sz w:val="21"/>
          <w:szCs w:val="21"/>
        </w:rPr>
      </w:pPr>
      <w:r>
        <w:rPr>
          <w:rFonts w:hint="eastAsia" w:ascii="仿宋" w:hAnsi="仿宋" w:eastAsia="仿宋" w:cs="仿宋"/>
          <w:b/>
          <w:sz w:val="21"/>
          <w:szCs w:val="21"/>
        </w:rPr>
        <w:t>图2-1  乐山市五通桥区交通位置图</w:t>
      </w:r>
    </w:p>
    <w:p>
      <w:pPr>
        <w:snapToGrid w:val="0"/>
        <w:ind w:firstLine="560"/>
        <w:rPr>
          <w:rFonts w:ascii="仿宋" w:hAnsi="仿宋" w:eastAsia="仿宋" w:cs="仿宋"/>
          <w:sz w:val="28"/>
          <w:szCs w:val="28"/>
        </w:rPr>
      </w:pPr>
      <w:r>
        <w:rPr>
          <w:rFonts w:hint="eastAsia" w:ascii="仿宋_GB2312" w:hAnsi="仿宋" w:eastAsia="仿宋_GB2312" w:cs="仿宋"/>
          <w:sz w:val="28"/>
          <w:szCs w:val="28"/>
        </w:rPr>
        <w:t>乐山市五通桥区原11个镇1个乡，2020年进行合乡并镇，辖区内现在共8个镇</w:t>
      </w:r>
      <w:r>
        <w:rPr>
          <w:rFonts w:hint="eastAsia" w:ascii="仿宋" w:hAnsi="仿宋" w:eastAsia="仿宋" w:cs="仿宋"/>
          <w:sz w:val="28"/>
          <w:szCs w:val="28"/>
        </w:rPr>
        <w:t>，见图2-2。</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pStyle w:val="111"/>
              <w:snapToGrid w:val="0"/>
              <w:spacing w:after="0" w:line="360" w:lineRule="auto"/>
            </w:pPr>
            <w:r>
              <w:rPr>
                <w:sz w:val="17"/>
              </w:rPr>
              <w:drawing>
                <wp:inline distT="0" distB="0" distL="114300" distR="114300">
                  <wp:extent cx="4859020" cy="4689475"/>
                  <wp:effectExtent l="0" t="0" r="2540" b="4445"/>
                  <wp:docPr id="8" name="图片 5" descr="说明: C:\Users\Administrator\Documents\Tencent Files\371282690\FileRecv\行政区划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说明: C:\Users\Administrator\Documents\Tencent Files\371282690\FileRecv\行政区划分布图.JPG"/>
                          <pic:cNvPicPr>
                            <a:picLocks noChangeAspect="1"/>
                          </pic:cNvPicPr>
                        </pic:nvPicPr>
                        <pic:blipFill>
                          <a:blip r:embed="rId23"/>
                          <a:stretch>
                            <a:fillRect/>
                          </a:stretch>
                        </pic:blipFill>
                        <pic:spPr>
                          <a:xfrm>
                            <a:off x="0" y="0"/>
                            <a:ext cx="4859020" cy="4689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pStyle w:val="111"/>
              <w:snapToGrid w:val="0"/>
              <w:spacing w:after="0"/>
              <w:ind w:firstLine="420"/>
              <w:rPr>
                <w:b w:val="0"/>
                <w:sz w:val="24"/>
              </w:rPr>
            </w:pPr>
            <w:r>
              <w:rPr>
                <w:rFonts w:hint="eastAsia" w:ascii="仿宋" w:hAnsi="仿宋" w:eastAsia="仿宋" w:cs="仿宋"/>
                <w:szCs w:val="21"/>
              </w:rPr>
              <w:t xml:space="preserve">图2-2  乐山市五通桥区行政区划图 </w:t>
            </w:r>
            <w:r>
              <w:rPr>
                <w:rFonts w:hint="eastAsia"/>
                <w:b w:val="0"/>
                <w:sz w:val="24"/>
              </w:rPr>
              <w:t xml:space="preserve">  </w:t>
            </w:r>
          </w:p>
        </w:tc>
      </w:tr>
    </w:tbl>
    <w:p>
      <w:pPr>
        <w:pStyle w:val="111"/>
        <w:snapToGrid w:val="0"/>
        <w:spacing w:after="0" w:line="360" w:lineRule="auto"/>
        <w:ind w:firstLine="422"/>
      </w:pPr>
    </w:p>
    <w:p>
      <w:pPr>
        <w:pStyle w:val="5"/>
        <w:snapToGrid w:val="0"/>
        <w:spacing w:beforeLines="0"/>
        <w:jc w:val="center"/>
        <w:rPr>
          <w:rStyle w:val="95"/>
          <w:rFonts w:ascii="仿宋" w:hAnsi="仿宋" w:eastAsia="仿宋" w:cs="仿宋"/>
          <w:sz w:val="30"/>
        </w:rPr>
      </w:pPr>
      <w:bookmarkStart w:id="111" w:name="_Toc14682"/>
      <w:bookmarkStart w:id="112" w:name="_Toc32076"/>
      <w:bookmarkStart w:id="113" w:name="_Toc469046092"/>
      <w:bookmarkStart w:id="114" w:name="_Toc16034"/>
      <w:bookmarkStart w:id="115" w:name="_Toc18702"/>
      <w:r>
        <w:rPr>
          <w:rStyle w:val="95"/>
          <w:rFonts w:hint="eastAsia" w:ascii="仿宋" w:hAnsi="仿宋" w:eastAsia="仿宋" w:cs="仿宋"/>
          <w:sz w:val="30"/>
        </w:rPr>
        <w:t>第二节  气象水文</w:t>
      </w:r>
      <w:bookmarkEnd w:id="111"/>
      <w:bookmarkEnd w:id="112"/>
      <w:bookmarkEnd w:id="113"/>
      <w:bookmarkEnd w:id="114"/>
      <w:bookmarkEnd w:id="115"/>
    </w:p>
    <w:p>
      <w:pPr>
        <w:pStyle w:val="6"/>
        <w:snapToGrid w:val="0"/>
        <w:spacing w:beforeLines="0" w:afterLines="0"/>
        <w:ind w:firstLine="562" w:firstLineChars="200"/>
        <w:rPr>
          <w:rFonts w:cs="仿宋"/>
          <w:szCs w:val="28"/>
        </w:rPr>
      </w:pPr>
      <w:bookmarkStart w:id="116" w:name="_Toc469046093"/>
      <w:bookmarkStart w:id="117" w:name="_Toc27631"/>
      <w:bookmarkStart w:id="118" w:name="_Toc27945"/>
      <w:r>
        <w:rPr>
          <w:rFonts w:hint="eastAsia" w:cs="仿宋"/>
          <w:szCs w:val="28"/>
        </w:rPr>
        <w:t>一、气象</w:t>
      </w:r>
      <w:bookmarkEnd w:id="116"/>
      <w:bookmarkEnd w:id="117"/>
      <w:bookmarkEnd w:id="118"/>
    </w:p>
    <w:p>
      <w:pPr>
        <w:snapToGrid w:val="0"/>
        <w:ind w:firstLine="560"/>
        <w:rPr>
          <w:rFonts w:ascii="仿宋" w:hAnsi="仿宋" w:eastAsia="仿宋" w:cs="仿宋"/>
          <w:sz w:val="28"/>
          <w:szCs w:val="28"/>
        </w:rPr>
      </w:pPr>
      <w:r>
        <w:rPr>
          <w:rFonts w:hint="eastAsia" w:ascii="仿宋" w:hAnsi="仿宋" w:eastAsia="仿宋" w:cs="仿宋"/>
          <w:sz w:val="28"/>
          <w:szCs w:val="28"/>
        </w:rPr>
        <w:t>五通桥区属中亚热带湿润性季风气候，冬无严寒，夏无酷热，热量丰富，雨热同季，雨量充沛。全区多年平均降雨量1264.2毫米，全年日照时数1077.7小时，年无霜期达330.5天；年平均气温18.8℃，最低气温-2.2℃，最高气温37.6℃；干旱和洪涝是全区同时存在的两大主要灾害性气候，冬季以干旱为主，据统计，36年中就有29次干旱，出现机率达75%；夏秋以洪涝为主，暴雨集中在夏秋两季，上游岷江、青衣江、大渡河洪水下泄，沿江平坝地势低洼，与江面仅差5～10米，洪涝年年发生，据统计资料，36年中洪涝灾害高达50次，给人民财产造成严重损失。</w:t>
      </w:r>
    </w:p>
    <w:p>
      <w:pPr>
        <w:snapToGrid w:val="0"/>
        <w:ind w:firstLine="560"/>
        <w:rPr>
          <w:rFonts w:ascii="仿宋" w:hAnsi="仿宋" w:eastAsia="仿宋" w:cs="仿宋"/>
          <w:sz w:val="28"/>
          <w:szCs w:val="28"/>
        </w:rPr>
      </w:pPr>
      <w:r>
        <w:rPr>
          <w:rFonts w:hint="eastAsia" w:ascii="仿宋" w:hAnsi="仿宋" w:eastAsia="仿宋" w:cs="仿宋"/>
          <w:sz w:val="28"/>
          <w:szCs w:val="28"/>
        </w:rPr>
        <w:t>五通桥区累年的平均蒸发量为1076.1毫米，4-8月间光照集中，降水量大，气温偏高，蒸发量大，春、秋冬光照偏少，气温偏低，降水少，蒸发量小。其多年气象资料见表2-1。</w:t>
      </w:r>
    </w:p>
    <w:p>
      <w:pPr>
        <w:adjustRightInd w:val="0"/>
        <w:snapToGrid w:val="0"/>
        <w:ind w:firstLine="422"/>
        <w:jc w:val="center"/>
        <w:rPr>
          <w:b/>
          <w:szCs w:val="21"/>
        </w:rPr>
      </w:pPr>
      <w:r>
        <w:rPr>
          <w:rFonts w:hint="eastAsia" w:ascii="仿宋" w:hAnsi="仿宋" w:eastAsia="仿宋" w:cs="仿宋"/>
          <w:b/>
          <w:sz w:val="21"/>
          <w:szCs w:val="21"/>
        </w:rPr>
        <w:t>表2-1  五通桥区气象资料多年平均值一览表（1971-2020年）</w:t>
      </w:r>
    </w:p>
    <w:tbl>
      <w:tblPr>
        <w:tblStyle w:val="33"/>
        <w:tblW w:w="90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7"/>
        <w:gridCol w:w="566"/>
        <w:gridCol w:w="565"/>
        <w:gridCol w:w="565"/>
        <w:gridCol w:w="604"/>
        <w:gridCol w:w="606"/>
        <w:gridCol w:w="606"/>
        <w:gridCol w:w="606"/>
        <w:gridCol w:w="606"/>
        <w:gridCol w:w="606"/>
        <w:gridCol w:w="556"/>
        <w:gridCol w:w="555"/>
        <w:gridCol w:w="556"/>
        <w:gridCol w:w="7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7" w:type="dxa"/>
            <w:tcBorders>
              <w:top w:val="single" w:color="auto" w:sz="12" w:space="0"/>
              <w:left w:val="single" w:color="auto" w:sz="12"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指标</w:t>
            </w:r>
          </w:p>
        </w:tc>
        <w:tc>
          <w:tcPr>
            <w:tcW w:w="56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1月</w:t>
            </w:r>
          </w:p>
        </w:tc>
        <w:tc>
          <w:tcPr>
            <w:tcW w:w="56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2月</w:t>
            </w:r>
          </w:p>
        </w:tc>
        <w:tc>
          <w:tcPr>
            <w:tcW w:w="56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3月</w:t>
            </w:r>
          </w:p>
        </w:tc>
        <w:tc>
          <w:tcPr>
            <w:tcW w:w="604"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5月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6月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7月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9月</w:t>
            </w:r>
          </w:p>
        </w:tc>
        <w:tc>
          <w:tcPr>
            <w:tcW w:w="55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10月</w:t>
            </w:r>
          </w:p>
        </w:tc>
        <w:tc>
          <w:tcPr>
            <w:tcW w:w="55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11月</w:t>
            </w:r>
          </w:p>
        </w:tc>
        <w:tc>
          <w:tcPr>
            <w:tcW w:w="55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12月</w:t>
            </w:r>
          </w:p>
        </w:tc>
        <w:tc>
          <w:tcPr>
            <w:tcW w:w="798" w:type="dxa"/>
            <w:tcBorders>
              <w:top w:val="single" w:color="auto" w:sz="12" w:space="0"/>
              <w:left w:val="single" w:color="auto" w:sz="6" w:space="0"/>
              <w:bottom w:val="single" w:color="auto" w:sz="6" w:space="0"/>
              <w:right w:val="single" w:color="auto" w:sz="1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7" w:type="dxa"/>
            <w:tcBorders>
              <w:top w:val="single" w:color="auto" w:sz="6" w:space="0"/>
              <w:left w:val="single" w:color="auto" w:sz="12"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气温（℃）</w:t>
            </w:r>
          </w:p>
        </w:tc>
        <w:tc>
          <w:tcPr>
            <w:tcW w:w="56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7.1</w:t>
            </w:r>
          </w:p>
        </w:tc>
        <w:tc>
          <w:tcPr>
            <w:tcW w:w="565"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8.8</w:t>
            </w:r>
          </w:p>
        </w:tc>
        <w:tc>
          <w:tcPr>
            <w:tcW w:w="565"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12.9</w:t>
            </w:r>
          </w:p>
        </w:tc>
        <w:tc>
          <w:tcPr>
            <w:tcW w:w="604"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18.0</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21.8</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24.1</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25.9</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25.8</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21.9</w:t>
            </w:r>
          </w:p>
        </w:tc>
        <w:tc>
          <w:tcPr>
            <w:tcW w:w="55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17.8</w:t>
            </w:r>
          </w:p>
        </w:tc>
        <w:tc>
          <w:tcPr>
            <w:tcW w:w="555"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13.5</w:t>
            </w:r>
          </w:p>
        </w:tc>
        <w:tc>
          <w:tcPr>
            <w:tcW w:w="55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8.7</w:t>
            </w:r>
          </w:p>
        </w:tc>
        <w:tc>
          <w:tcPr>
            <w:tcW w:w="798" w:type="dxa"/>
            <w:tcBorders>
              <w:top w:val="single" w:color="auto" w:sz="6" w:space="0"/>
              <w:left w:val="single" w:color="auto" w:sz="6" w:space="0"/>
              <w:bottom w:val="single" w:color="auto" w:sz="6" w:space="0"/>
              <w:right w:val="single" w:color="auto" w:sz="1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7" w:type="dxa"/>
            <w:tcBorders>
              <w:top w:val="single" w:color="auto" w:sz="6" w:space="0"/>
              <w:left w:val="single" w:color="auto" w:sz="12" w:space="0"/>
              <w:bottom w:val="single" w:color="auto" w:sz="12"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降雨量</w:t>
            </w:r>
            <w:r>
              <w:rPr>
                <w:rFonts w:hint="eastAsia" w:ascii="仿宋" w:hAnsi="仿宋" w:eastAsia="仿宋" w:cs="仿宋"/>
                <w:sz w:val="21"/>
                <w:szCs w:val="21"/>
                <w:lang w:val="en-GB"/>
              </w:rPr>
              <w:t>（</w:t>
            </w:r>
            <w:r>
              <w:rPr>
                <w:rFonts w:hint="eastAsia" w:ascii="仿宋" w:hAnsi="仿宋" w:eastAsia="仿宋" w:cs="仿宋"/>
                <w:sz w:val="21"/>
                <w:szCs w:val="21"/>
              </w:rPr>
              <w:t>mm</w:t>
            </w:r>
            <w:r>
              <w:rPr>
                <w:rFonts w:hint="eastAsia" w:ascii="仿宋" w:hAnsi="仿宋" w:eastAsia="仿宋" w:cs="仿宋"/>
                <w:sz w:val="21"/>
                <w:szCs w:val="21"/>
                <w:lang w:val="en-GB"/>
              </w:rPr>
              <w:t>）</w:t>
            </w:r>
          </w:p>
        </w:tc>
        <w:tc>
          <w:tcPr>
            <w:tcW w:w="56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15.1</w:t>
            </w:r>
          </w:p>
        </w:tc>
        <w:tc>
          <w:tcPr>
            <w:tcW w:w="56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17.4</w:t>
            </w:r>
          </w:p>
        </w:tc>
        <w:tc>
          <w:tcPr>
            <w:tcW w:w="56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48.8</w:t>
            </w:r>
          </w:p>
        </w:tc>
        <w:tc>
          <w:tcPr>
            <w:tcW w:w="604"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81.8</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103.5</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148.6</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232.6</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323.0</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182.1</w:t>
            </w:r>
          </w:p>
        </w:tc>
        <w:tc>
          <w:tcPr>
            <w:tcW w:w="55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82.9</w:t>
            </w:r>
          </w:p>
        </w:tc>
        <w:tc>
          <w:tcPr>
            <w:tcW w:w="55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25.9</w:t>
            </w:r>
          </w:p>
        </w:tc>
        <w:tc>
          <w:tcPr>
            <w:tcW w:w="55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22.5</w:t>
            </w:r>
          </w:p>
        </w:tc>
        <w:tc>
          <w:tcPr>
            <w:tcW w:w="798" w:type="dxa"/>
            <w:tcBorders>
              <w:top w:val="single" w:color="auto" w:sz="6" w:space="0"/>
              <w:left w:val="single" w:color="auto" w:sz="6" w:space="0"/>
              <w:bottom w:val="single" w:color="auto" w:sz="12" w:space="0"/>
              <w:right w:val="single" w:color="auto" w:sz="12"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1284.24</w:t>
            </w:r>
          </w:p>
        </w:tc>
      </w:tr>
    </w:tbl>
    <w:p>
      <w:pPr>
        <w:snapToGrid w:val="0"/>
        <w:ind w:firstLine="560"/>
        <w:rPr>
          <w:rFonts w:ascii="仿宋" w:hAnsi="仿宋" w:eastAsia="仿宋" w:cs="仿宋"/>
          <w:sz w:val="28"/>
          <w:szCs w:val="28"/>
        </w:rPr>
      </w:pPr>
      <w:r>
        <w:rPr>
          <w:rFonts w:hint="eastAsia" w:ascii="仿宋" w:hAnsi="仿宋" w:eastAsia="仿宋" w:cs="仿宋"/>
          <w:sz w:val="28"/>
          <w:szCs w:val="28"/>
        </w:rPr>
        <w:t>五通桥区位于我国著名的“华西雨屏”的东部外缘，有较为丰富的降水资源，根据五通桥区气象站资料本区多年平均降雨量为1264.2毫米，最多年份达1948.4毫米（1975年），最少的年份仅913.3毫米（1978年）；全年平均降雨天数为173.2天。在充沛的降水条件下，夜雨频繁是本区的一大特点。本区四季降雨差异较大，春季（3--5月）220.4毫米，夏季（6--8月）729.5毫米，秋季（9--11月）262.5毫米，冬季（12--2月）51.8毫米，它们分别占全年总降雨量的17.4%、57.7%、20.8%、4.1%，尤以5-9月降雨集中，降雨量达1056.3毫米，占全年总降雨量的83.6%（见图2-3）。</w:t>
      </w:r>
    </w:p>
    <w:tbl>
      <w:tblPr>
        <w:tblStyle w:val="33"/>
        <w:tblW w:w="0" w:type="auto"/>
        <w:tblInd w:w="0" w:type="dxa"/>
        <w:tblLayout w:type="autofit"/>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9286" w:type="dxa"/>
          </w:tcPr>
          <w:p>
            <w:pPr>
              <w:snapToGrid w:val="0"/>
              <w:ind w:left="991" w:leftChars="413" w:firstLine="0" w:firstLineChars="0"/>
            </w:pPr>
            <w:r>
              <w:object>
                <v:shape id="_x0000_i1025" o:spt="75" type="#_x0000_t75" style="height:182.75pt;width:358.4pt;" o:ole="t" filled="f" o:preferrelative="t" stroked="f" coordsize="21600,21600">
                  <v:path/>
                  <v:fill on="f" focussize="0,0"/>
                  <v:stroke on="f" joinstyle="miter"/>
                  <v:imagedata r:id="rId25" o:title=""/>
                  <o:lock v:ext="edit" aspectratio="t"/>
                  <w10:wrap type="none"/>
                  <w10:anchorlock/>
                </v:shape>
                <o:OLEObject Type="Embed" ProgID="Excel.Sheet.8" ShapeID="_x0000_i1025" DrawAspect="Content" ObjectID="_1468075725" r:id="rId24">
                  <o:LockedField>false</o:LockedField>
                </o:OLEObject>
              </w:object>
            </w:r>
          </w:p>
        </w:tc>
      </w:tr>
      <w:tr>
        <w:tc>
          <w:tcPr>
            <w:tcW w:w="9286" w:type="dxa"/>
          </w:tcPr>
          <w:p>
            <w:pPr>
              <w:snapToGrid w:val="0"/>
              <w:ind w:firstLine="0" w:firstLineChars="0"/>
              <w:jc w:val="center"/>
            </w:pPr>
            <w:r>
              <w:rPr>
                <w:rFonts w:hint="eastAsia" w:ascii="仿宋" w:hAnsi="仿宋" w:eastAsia="仿宋" w:cs="仿宋"/>
                <w:b/>
                <w:sz w:val="21"/>
                <w:szCs w:val="21"/>
              </w:rPr>
              <w:t>图2-3  乐山市五通桥区气象要素图</w:t>
            </w:r>
          </w:p>
        </w:tc>
      </w:tr>
    </w:tbl>
    <w:p>
      <w:pPr>
        <w:snapToGrid w:val="0"/>
        <w:ind w:firstLine="560"/>
      </w:pPr>
      <w:r>
        <w:rPr>
          <w:rFonts w:hint="eastAsia" w:ascii="仿宋" w:hAnsi="仿宋" w:eastAsia="仿宋" w:cs="仿宋"/>
          <w:sz w:val="28"/>
          <w:szCs w:val="28"/>
        </w:rPr>
        <w:t>区境内年际降雨量存在一定的变化，但未体现出明显的变化趋势，见（图2-4），降雨量的空间分布上也不均匀，如前所述，总体上来看呈从西向东递减的趋势，最大值（1350mm）与最小值（1100mm）之间相差250mm。</w:t>
      </w:r>
    </w:p>
    <w:tbl>
      <w:tblPr>
        <w:tblStyle w:val="33"/>
        <w:tblW w:w="0" w:type="auto"/>
        <w:tblInd w:w="0" w:type="dxa"/>
        <w:tblLayout w:type="autofit"/>
        <w:tblCellMar>
          <w:top w:w="0" w:type="dxa"/>
          <w:left w:w="108" w:type="dxa"/>
          <w:bottom w:w="0" w:type="dxa"/>
          <w:right w:w="108" w:type="dxa"/>
        </w:tblCellMar>
      </w:tblPr>
      <w:tblGrid>
        <w:gridCol w:w="9048"/>
      </w:tblGrid>
      <w:tr>
        <w:tblPrEx>
          <w:tblCellMar>
            <w:top w:w="0" w:type="dxa"/>
            <w:left w:w="108" w:type="dxa"/>
            <w:bottom w:w="0" w:type="dxa"/>
            <w:right w:w="108" w:type="dxa"/>
          </w:tblCellMar>
        </w:tblPrEx>
        <w:tc>
          <w:tcPr>
            <w:tcW w:w="9039" w:type="dxa"/>
          </w:tcPr>
          <w:p>
            <w:pPr>
              <w:snapToGrid w:val="0"/>
              <w:ind w:firstLine="960" w:firstLineChars="400"/>
            </w:pPr>
            <w:r>
              <w:rPr>
                <w:rFonts w:ascii="等线" w:hAnsi="等线" w:eastAsia="等线" w:cs="宋体"/>
              </w:rPr>
              <w:drawing>
                <wp:inline distT="0" distB="0" distL="114300" distR="114300">
                  <wp:extent cx="4991100" cy="4314190"/>
                  <wp:effectExtent l="0" t="0" r="7620" b="1397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6"/>
                          <a:stretch>
                            <a:fillRect/>
                          </a:stretch>
                        </pic:blipFill>
                        <pic:spPr>
                          <a:xfrm>
                            <a:off x="0" y="0"/>
                            <a:ext cx="4991100" cy="431419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039" w:type="dxa"/>
          </w:tcPr>
          <w:p>
            <w:pPr>
              <w:snapToGrid w:val="0"/>
              <w:ind w:firstLine="0" w:firstLineChars="0"/>
              <w:jc w:val="center"/>
              <w:rPr>
                <w:b/>
                <w:bCs/>
                <w:szCs w:val="21"/>
              </w:rPr>
            </w:pPr>
            <w:r>
              <w:rPr>
                <w:rFonts w:hint="eastAsia"/>
                <w:b/>
                <w:bCs/>
                <w:szCs w:val="21"/>
              </w:rPr>
              <w:t xml:space="preserve">    图2-4  乐山市五通桥区降水等值线图</w:t>
            </w:r>
          </w:p>
        </w:tc>
      </w:tr>
    </w:tbl>
    <w:p>
      <w:pPr>
        <w:pStyle w:val="6"/>
        <w:snapToGrid w:val="0"/>
        <w:spacing w:beforeLines="0" w:afterLines="0"/>
        <w:ind w:firstLine="562" w:firstLineChars="200"/>
        <w:rPr>
          <w:rFonts w:cs="仿宋"/>
          <w:szCs w:val="28"/>
        </w:rPr>
      </w:pPr>
      <w:bookmarkStart w:id="119" w:name="_Toc22028"/>
      <w:bookmarkStart w:id="120" w:name="_Toc469046094"/>
      <w:bookmarkStart w:id="121" w:name="_Toc484"/>
      <w:r>
        <w:rPr>
          <w:rFonts w:hint="eastAsia" w:cs="仿宋"/>
          <w:szCs w:val="28"/>
        </w:rPr>
        <w:t>二、水文</w:t>
      </w:r>
      <w:bookmarkEnd w:id="119"/>
      <w:bookmarkEnd w:id="120"/>
      <w:bookmarkEnd w:id="121"/>
    </w:p>
    <w:p>
      <w:pPr>
        <w:snapToGrid w:val="0"/>
        <w:ind w:firstLine="560"/>
        <w:rPr>
          <w:rFonts w:ascii="仿宋" w:hAnsi="仿宋" w:eastAsia="仿宋" w:cs="仿宋"/>
          <w:sz w:val="28"/>
          <w:szCs w:val="28"/>
        </w:rPr>
      </w:pPr>
      <w:r>
        <w:rPr>
          <w:rFonts w:hint="eastAsia" w:ascii="仿宋" w:hAnsi="仿宋" w:eastAsia="仿宋" w:cs="仿宋"/>
          <w:sz w:val="28"/>
          <w:szCs w:val="28"/>
        </w:rPr>
        <w:t>五通桥区位于岷江、青衣江、大渡河汇合口的下游。岷江南北纵贯全境，为过境大河，境内有茫溪河、磨池河、沫溪河、眠羊溪等河流从丘陵区或低山区流出，分别从东部和西部汇入岷江，含岷江左支汊河---涌斯江在内，区境内长于10公里的河流有5条，河流总长为123.17公里，除岷江外，其余河流洪枯水位变幅都大，此外还有数十条小溪沟，流短量小。分布详见图2-5。</w:t>
      </w:r>
    </w:p>
    <w:p>
      <w:pPr>
        <w:snapToGrid w:val="0"/>
        <w:ind w:firstLine="560"/>
        <w:rPr>
          <w:rFonts w:ascii="仿宋" w:hAnsi="仿宋" w:eastAsia="仿宋" w:cs="仿宋"/>
          <w:sz w:val="28"/>
          <w:szCs w:val="28"/>
        </w:rPr>
      </w:pPr>
      <w:r>
        <w:rPr>
          <w:rFonts w:hint="eastAsia" w:ascii="仿宋" w:hAnsi="仿宋" w:eastAsia="仿宋" w:cs="仿宋"/>
          <w:sz w:val="28"/>
          <w:szCs w:val="28"/>
        </w:rPr>
        <w:t>茫</w:t>
      </w:r>
      <w:r>
        <w:rPr>
          <w:rFonts w:hint="eastAsia" w:ascii="仿宋" w:hAnsi="仿宋" w:eastAsia="仿宋" w:cs="仿宋"/>
          <w:sz w:val="28"/>
          <w:szCs w:val="28"/>
          <w:lang w:val="en-GB"/>
        </w:rPr>
        <w:t>溪河在区</w:t>
      </w:r>
      <w:r>
        <w:rPr>
          <w:rFonts w:hint="eastAsia" w:ascii="仿宋" w:hAnsi="仿宋" w:eastAsia="仿宋" w:cs="仿宋"/>
          <w:sz w:val="28"/>
          <w:szCs w:val="28"/>
        </w:rPr>
        <w:t>境</w:t>
      </w:r>
      <w:r>
        <w:rPr>
          <w:rFonts w:hint="eastAsia" w:ascii="仿宋" w:hAnsi="仿宋" w:eastAsia="仿宋" w:cs="仿宋"/>
          <w:sz w:val="28"/>
          <w:szCs w:val="28"/>
          <w:lang w:val="en-GB"/>
        </w:rPr>
        <w:t>内东部东西向汇入岷江，在区</w:t>
      </w:r>
      <w:r>
        <w:rPr>
          <w:rFonts w:hint="eastAsia" w:ascii="仿宋" w:hAnsi="仿宋" w:eastAsia="仿宋" w:cs="仿宋"/>
          <w:sz w:val="28"/>
          <w:szCs w:val="28"/>
        </w:rPr>
        <w:t>境</w:t>
      </w:r>
      <w:r>
        <w:rPr>
          <w:rFonts w:hint="eastAsia" w:ascii="仿宋" w:hAnsi="仿宋" w:eastAsia="仿宋" w:cs="仿宋"/>
          <w:sz w:val="28"/>
          <w:szCs w:val="28"/>
          <w:lang w:val="en-GB"/>
        </w:rPr>
        <w:t>内流经长度为17.47km，多年平均流量11.73</w:t>
      </w:r>
      <w:r>
        <w:rPr>
          <w:rFonts w:hint="eastAsia" w:ascii="仿宋" w:hAnsi="仿宋" w:eastAsia="仿宋" w:cs="仿宋"/>
          <w:sz w:val="28"/>
          <w:szCs w:val="28"/>
        </w:rPr>
        <w:t xml:space="preserve"> m </w:t>
      </w:r>
      <w:r>
        <w:rPr>
          <w:rFonts w:hint="eastAsia" w:ascii="仿宋" w:hAnsi="仿宋" w:eastAsia="仿宋" w:cs="仿宋"/>
          <w:sz w:val="28"/>
          <w:szCs w:val="28"/>
          <w:vertAlign w:val="superscript"/>
        </w:rPr>
        <w:t>3</w:t>
      </w:r>
      <w:r>
        <w:rPr>
          <w:rFonts w:hint="eastAsia" w:ascii="仿宋" w:hAnsi="仿宋" w:eastAsia="仿宋" w:cs="仿宋"/>
          <w:sz w:val="28"/>
          <w:szCs w:val="28"/>
        </w:rPr>
        <w:t>/s，在境内落差为8米，流域面积达80.20 km</w:t>
      </w:r>
      <w:r>
        <w:rPr>
          <w:rFonts w:hint="eastAsia" w:ascii="仿宋" w:hAnsi="仿宋" w:eastAsia="仿宋" w:cs="仿宋"/>
          <w:sz w:val="28"/>
          <w:szCs w:val="28"/>
          <w:vertAlign w:val="superscript"/>
        </w:rPr>
        <w:t xml:space="preserve"> 2</w:t>
      </w:r>
      <w:r>
        <w:rPr>
          <w:rFonts w:hint="eastAsia" w:ascii="仿宋" w:hAnsi="仿宋" w:eastAsia="仿宋" w:cs="仿宋"/>
          <w:sz w:val="28"/>
          <w:szCs w:val="28"/>
        </w:rPr>
        <w:t>。</w:t>
      </w:r>
    </w:p>
    <w:p>
      <w:pPr>
        <w:snapToGrid w:val="0"/>
        <w:ind w:firstLine="560"/>
        <w:rPr>
          <w:rFonts w:ascii="仿宋" w:hAnsi="仿宋" w:eastAsia="仿宋" w:cs="仿宋"/>
          <w:sz w:val="28"/>
          <w:szCs w:val="28"/>
        </w:rPr>
      </w:pPr>
      <w:r>
        <w:rPr>
          <w:rFonts w:hint="eastAsia" w:ascii="仿宋" w:hAnsi="仿宋" w:eastAsia="仿宋" w:cs="仿宋"/>
          <w:sz w:val="28"/>
          <w:szCs w:val="28"/>
        </w:rPr>
        <w:t>沫溪河从境内西部由西向东汇入岷江，在区境内流经长度为21</w:t>
      </w:r>
      <w:r>
        <w:rPr>
          <w:rFonts w:hint="eastAsia" w:ascii="仿宋" w:hAnsi="仿宋" w:eastAsia="仿宋" w:cs="仿宋"/>
          <w:sz w:val="28"/>
          <w:szCs w:val="28"/>
          <w:lang w:val="en-GB"/>
        </w:rPr>
        <w:t>.7km，多年平均流量</w:t>
      </w:r>
      <w:r>
        <w:rPr>
          <w:rFonts w:hint="eastAsia" w:ascii="仿宋" w:hAnsi="仿宋" w:eastAsia="仿宋" w:cs="仿宋"/>
          <w:sz w:val="28"/>
          <w:szCs w:val="28"/>
        </w:rPr>
        <w:t>2.56 m</w:t>
      </w:r>
      <w:r>
        <w:rPr>
          <w:rFonts w:hint="eastAsia" w:ascii="仿宋" w:hAnsi="仿宋" w:eastAsia="仿宋" w:cs="仿宋"/>
          <w:sz w:val="28"/>
          <w:szCs w:val="28"/>
          <w:vertAlign w:val="superscript"/>
        </w:rPr>
        <w:t xml:space="preserve"> 3</w:t>
      </w:r>
      <w:r>
        <w:rPr>
          <w:rFonts w:hint="eastAsia" w:ascii="仿宋" w:hAnsi="仿宋" w:eastAsia="仿宋" w:cs="仿宋"/>
          <w:sz w:val="28"/>
          <w:szCs w:val="28"/>
        </w:rPr>
        <w:t>/s，在境内落差为34.51米，流域面积达到194.7 km 2。见表2-2</w:t>
      </w:r>
    </w:p>
    <w:p>
      <w:pPr>
        <w:snapToGrid w:val="0"/>
        <w:ind w:firstLine="560"/>
        <w:rPr>
          <w:rFonts w:ascii="仿宋" w:hAnsi="仿宋" w:eastAsia="仿宋" w:cs="仿宋"/>
          <w:sz w:val="28"/>
          <w:szCs w:val="28"/>
        </w:rPr>
      </w:pPr>
      <w:r>
        <w:rPr>
          <w:rFonts w:hint="eastAsia" w:ascii="仿宋" w:hAnsi="仿宋" w:eastAsia="仿宋" w:cs="仿宋"/>
          <w:sz w:val="28"/>
          <w:szCs w:val="28"/>
        </w:rPr>
        <w:t>在河谷强烈下切侵蚀作用下，区境内局部地方地形陡峻，临空面较发育，且雨季沟谷水动力较强，对沟岸的冲刷和侧蚀作用强烈，沿河谷两岸滑坡、崩塌等地质灾害较发育。</w:t>
      </w:r>
    </w:p>
    <w:tbl>
      <w:tblPr>
        <w:tblStyle w:val="33"/>
        <w:tblW w:w="0" w:type="auto"/>
        <w:tblInd w:w="0" w:type="dxa"/>
        <w:tblLayout w:type="autofit"/>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9286" w:type="dxa"/>
          </w:tcPr>
          <w:p>
            <w:pPr>
              <w:pStyle w:val="98"/>
              <w:adjustRightInd/>
              <w:ind w:firstLine="0" w:firstLineChars="0"/>
            </w:pPr>
            <w:r>
              <w:drawing>
                <wp:inline distT="0" distB="0" distL="114300" distR="114300">
                  <wp:extent cx="5702935" cy="5461000"/>
                  <wp:effectExtent l="0" t="0" r="0" b="0"/>
                  <wp:docPr id="12" name="图片 8" descr="C:\Users\Administrator\Documents\Tencent Files\371282690\FileRecv\水系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C:\Users\Administrator\Documents\Tencent Files\371282690\FileRecv\水系分布图.JPG"/>
                          <pic:cNvPicPr>
                            <a:picLocks noChangeAspect="1"/>
                          </pic:cNvPicPr>
                        </pic:nvPicPr>
                        <pic:blipFill>
                          <a:blip r:embed="rId27"/>
                          <a:stretch>
                            <a:fillRect/>
                          </a:stretch>
                        </pic:blipFill>
                        <pic:spPr>
                          <a:xfrm>
                            <a:off x="0" y="0"/>
                            <a:ext cx="5713880" cy="5471306"/>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286" w:type="dxa"/>
          </w:tcPr>
          <w:p>
            <w:pPr>
              <w:snapToGrid w:val="0"/>
              <w:ind w:firstLine="422"/>
              <w:jc w:val="center"/>
              <w:rPr>
                <w:b/>
                <w:szCs w:val="21"/>
              </w:rPr>
            </w:pPr>
            <w:r>
              <w:rPr>
                <w:rFonts w:hint="eastAsia" w:ascii="仿宋" w:hAnsi="仿宋" w:eastAsia="仿宋" w:cs="仿宋"/>
                <w:b/>
                <w:sz w:val="21"/>
                <w:szCs w:val="21"/>
              </w:rPr>
              <w:t>图2-5  乐山市五通桥区水系图</w:t>
            </w:r>
          </w:p>
        </w:tc>
      </w:tr>
    </w:tbl>
    <w:p>
      <w:pPr>
        <w:snapToGrid w:val="0"/>
        <w:ind w:firstLine="0" w:firstLineChars="0"/>
        <w:jc w:val="center"/>
        <w:rPr>
          <w:b/>
          <w:szCs w:val="21"/>
          <w:lang w:val="en-GB"/>
        </w:rPr>
      </w:pPr>
    </w:p>
    <w:p>
      <w:pPr>
        <w:snapToGrid w:val="0"/>
        <w:ind w:firstLine="0" w:firstLineChars="0"/>
        <w:jc w:val="center"/>
        <w:rPr>
          <w:rFonts w:ascii="仿宋" w:hAnsi="仿宋" w:eastAsia="仿宋" w:cs="仿宋"/>
          <w:b/>
          <w:sz w:val="21"/>
          <w:szCs w:val="21"/>
          <w:lang w:val="en-GB"/>
        </w:rPr>
      </w:pPr>
    </w:p>
    <w:p>
      <w:pPr>
        <w:snapToGrid w:val="0"/>
        <w:ind w:firstLine="0" w:firstLineChars="0"/>
        <w:jc w:val="center"/>
        <w:rPr>
          <w:rFonts w:ascii="仿宋" w:hAnsi="仿宋" w:eastAsia="仿宋" w:cs="仿宋"/>
          <w:b/>
          <w:sz w:val="21"/>
          <w:szCs w:val="21"/>
          <w:lang w:val="en-GB"/>
        </w:rPr>
      </w:pPr>
    </w:p>
    <w:p>
      <w:pPr>
        <w:snapToGrid w:val="0"/>
        <w:ind w:firstLine="0" w:firstLineChars="0"/>
        <w:jc w:val="center"/>
        <w:rPr>
          <w:rFonts w:ascii="仿宋" w:hAnsi="仿宋" w:eastAsia="仿宋" w:cs="仿宋"/>
          <w:b/>
          <w:sz w:val="21"/>
          <w:szCs w:val="21"/>
          <w:lang w:val="en-GB"/>
        </w:rPr>
      </w:pPr>
    </w:p>
    <w:p>
      <w:pPr>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lang w:val="en-GB"/>
        </w:rPr>
        <w:t>表</w:t>
      </w:r>
      <w:r>
        <w:rPr>
          <w:rFonts w:hint="eastAsia" w:ascii="仿宋" w:hAnsi="仿宋" w:eastAsia="仿宋" w:cs="仿宋"/>
          <w:b/>
          <w:sz w:val="21"/>
          <w:szCs w:val="21"/>
        </w:rPr>
        <w:t>2</w:t>
      </w:r>
      <w:r>
        <w:rPr>
          <w:rFonts w:hint="eastAsia" w:ascii="仿宋" w:hAnsi="仿宋" w:eastAsia="仿宋" w:cs="仿宋"/>
          <w:b/>
          <w:sz w:val="21"/>
          <w:szCs w:val="21"/>
          <w:lang w:val="en-GB"/>
        </w:rPr>
        <w:t xml:space="preserve">-2  </w:t>
      </w:r>
      <w:r>
        <w:rPr>
          <w:rFonts w:hint="eastAsia" w:ascii="仿宋" w:hAnsi="仿宋" w:eastAsia="仿宋" w:cs="仿宋"/>
          <w:b/>
          <w:sz w:val="21"/>
          <w:szCs w:val="21"/>
        </w:rPr>
        <w:t>乐山市五通桥区主要河流特征表</w:t>
      </w:r>
    </w:p>
    <w:tbl>
      <w:tblPr>
        <w:tblStyle w:val="33"/>
        <w:tblW w:w="928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8"/>
        <w:gridCol w:w="960"/>
        <w:gridCol w:w="1200"/>
        <w:gridCol w:w="793"/>
        <w:gridCol w:w="912"/>
        <w:gridCol w:w="1175"/>
        <w:gridCol w:w="1200"/>
        <w:gridCol w:w="917"/>
        <w:gridCol w:w="10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河流名称</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河流长度（km）</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区境内</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流域面积</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 xml:space="preserve">（km </w:t>
            </w:r>
            <w:r>
              <w:rPr>
                <w:rFonts w:hint="eastAsia" w:ascii="仿宋" w:hAnsi="仿宋" w:eastAsia="仿宋" w:cs="仿宋"/>
                <w:sz w:val="21"/>
                <w:szCs w:val="21"/>
                <w:vertAlign w:val="superscript"/>
              </w:rPr>
              <w:t>2</w:t>
            </w:r>
            <w:r>
              <w:rPr>
                <w:rFonts w:hint="eastAsia" w:ascii="仿宋" w:hAnsi="仿宋" w:eastAsia="仿宋" w:cs="仿宋"/>
                <w:sz w:val="21"/>
                <w:szCs w:val="21"/>
              </w:rPr>
              <w:t>）</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落差</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（m）</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平均</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比降</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多年平</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均流量</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（m 3/s）</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枯水流量</w:t>
            </w:r>
          </w:p>
          <w:p>
            <w:pPr>
              <w:snapToGrid w:val="0"/>
              <w:spacing w:line="240" w:lineRule="auto"/>
              <w:ind w:firstLineChars="0"/>
              <w:jc w:val="center"/>
              <w:rPr>
                <w:rFonts w:ascii="仿宋" w:hAnsi="仿宋" w:eastAsia="仿宋" w:cs="仿宋"/>
                <w:sz w:val="21"/>
                <w:szCs w:val="21"/>
              </w:rPr>
            </w:pPr>
            <w:r>
              <w:rPr>
                <w:rFonts w:hint="eastAsia" w:ascii="仿宋" w:hAnsi="仿宋" w:eastAsia="仿宋" w:cs="仿宋"/>
                <w:sz w:val="21"/>
                <w:szCs w:val="21"/>
              </w:rPr>
              <w:t>（m</w:t>
            </w:r>
            <w:r>
              <w:rPr>
                <w:rFonts w:hint="eastAsia" w:ascii="仿宋" w:hAnsi="仿宋" w:eastAsia="仿宋" w:cs="仿宋"/>
                <w:sz w:val="21"/>
                <w:szCs w:val="21"/>
                <w:vertAlign w:val="superscript"/>
              </w:rPr>
              <w:t>3</w:t>
            </w:r>
            <w:r>
              <w:rPr>
                <w:rFonts w:hint="eastAsia" w:ascii="仿宋" w:hAnsi="仿宋" w:eastAsia="仿宋" w:cs="仿宋"/>
                <w:sz w:val="21"/>
                <w:szCs w:val="21"/>
              </w:rPr>
              <w:t>/s）</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起点高程（m）</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出境高程（m）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岷江</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27.1</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467.62</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17.0</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0.786</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2440</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330</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350.0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茫溪河</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17.47</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80.20</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8.0</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0.46</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11.73</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0.5</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352.0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岷江右干</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16.1</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99.5</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14.0</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0.848</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2410</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310</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352.0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岷江左干</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15.5</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93.2</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14.0</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0.9</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239</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15</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352.0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沫溪河</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21.7</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194.7</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34.51</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1.4</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2.56</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0.5</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369.61</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335.07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眠羊溪</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25.3</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69.7</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61.5</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2.66</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0.19</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0.01</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403.50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342.00</w:t>
            </w:r>
          </w:p>
        </w:tc>
      </w:tr>
    </w:tbl>
    <w:p>
      <w:pPr>
        <w:ind w:firstLine="600"/>
        <w:rPr>
          <w:rStyle w:val="95"/>
          <w:rFonts w:ascii="仿宋" w:hAnsi="仿宋" w:eastAsia="仿宋" w:cs="仿宋"/>
          <w:sz w:val="30"/>
        </w:rPr>
      </w:pPr>
      <w:bookmarkStart w:id="122" w:name="_Toc30843"/>
      <w:bookmarkStart w:id="123" w:name="_Toc468259761"/>
      <w:bookmarkStart w:id="124" w:name="_Toc468221658"/>
      <w:bookmarkStart w:id="125" w:name="_Toc468260276"/>
      <w:bookmarkStart w:id="126" w:name="_Toc18728"/>
      <w:bookmarkStart w:id="127" w:name="_Toc32129"/>
      <w:bookmarkStart w:id="128" w:name="_Toc469046095"/>
      <w:bookmarkStart w:id="129" w:name="_Toc143011750"/>
      <w:bookmarkStart w:id="130" w:name="_Toc468259623"/>
      <w:bookmarkStart w:id="131" w:name="_Toc143008150"/>
      <w:bookmarkStart w:id="132" w:name="_Toc6890"/>
    </w:p>
    <w:p>
      <w:pPr>
        <w:pStyle w:val="5"/>
        <w:snapToGrid w:val="0"/>
        <w:spacing w:beforeLines="0"/>
        <w:jc w:val="center"/>
        <w:rPr>
          <w:rStyle w:val="95"/>
          <w:rFonts w:ascii="仿宋" w:hAnsi="仿宋" w:eastAsia="仿宋" w:cs="仿宋"/>
          <w:sz w:val="30"/>
        </w:rPr>
      </w:pPr>
      <w:r>
        <w:rPr>
          <w:rStyle w:val="95"/>
          <w:rFonts w:hint="eastAsia" w:ascii="仿宋" w:hAnsi="仿宋" w:eastAsia="仿宋" w:cs="仿宋"/>
          <w:sz w:val="30"/>
        </w:rPr>
        <w:t>第三节  社会经济概况</w:t>
      </w:r>
      <w:bookmarkEnd w:id="122"/>
      <w:bookmarkEnd w:id="123"/>
      <w:bookmarkEnd w:id="124"/>
      <w:bookmarkEnd w:id="125"/>
      <w:bookmarkEnd w:id="126"/>
      <w:bookmarkEnd w:id="127"/>
      <w:bookmarkEnd w:id="128"/>
      <w:bookmarkEnd w:id="129"/>
      <w:bookmarkEnd w:id="130"/>
      <w:bookmarkEnd w:id="131"/>
      <w:bookmarkEnd w:id="132"/>
    </w:p>
    <w:p>
      <w:pPr>
        <w:snapToGrid w:val="0"/>
        <w:ind w:firstLine="560"/>
        <w:rPr>
          <w:rFonts w:ascii="仿宋" w:hAnsi="仿宋" w:eastAsia="仿宋" w:cs="仿宋"/>
          <w:sz w:val="28"/>
          <w:szCs w:val="28"/>
        </w:rPr>
      </w:pPr>
      <w:r>
        <w:rPr>
          <w:rFonts w:hint="eastAsia" w:ascii="仿宋" w:hAnsi="仿宋" w:eastAsia="仿宋" w:cs="仿宋"/>
          <w:sz w:val="28"/>
          <w:szCs w:val="28"/>
        </w:rPr>
        <w:t>据《五通桥区2019年国民经济和社会发展统计公报》，2019年全区实现地区生产总值(GDP)2183423万元,按可比价格计算,比上年增长9.1%,其中,第一产业增加值259623万元,增长2.8%;第二产业增加值1301092万元,增长9.8%;第三产业增加值622708万元,增长9.8%。全年居民消费价格指数比上年上涨3.8%,其中,食品烟酒价格指数上涨11.3%。服务项目价格上涨1.0 %,消费品价格上涨 5.2%。工业生产者出厂价格上涨0.8%,工业生产者购进价格上涨2.9%。2019年末全区城镇从业人员77929人,年末城镇登记失业率为3.8%,失业人员实现再就业人数0.18万人,参加失业保险人数为1.8万人。全年税务收入144227万元,比上年减少14.0%。其中税收收入122900万元,同比减少24.4%。各乡镇基本情况详见表2-3。</w:t>
      </w:r>
    </w:p>
    <w:p>
      <w:pPr>
        <w:snapToGrid w:val="0"/>
        <w:ind w:firstLine="310" w:firstLineChars="147"/>
        <w:jc w:val="center"/>
        <w:rPr>
          <w:rFonts w:ascii="仿宋" w:hAnsi="仿宋" w:eastAsia="仿宋" w:cs="仿宋"/>
          <w:b/>
        </w:rPr>
      </w:pPr>
      <w:r>
        <w:rPr>
          <w:rFonts w:hint="eastAsia" w:ascii="仿宋" w:hAnsi="仿宋" w:eastAsia="仿宋" w:cs="仿宋"/>
          <w:b/>
          <w:sz w:val="21"/>
          <w:szCs w:val="21"/>
        </w:rPr>
        <w:t>表2-3  全区行政区域人口概况表</w:t>
      </w:r>
    </w:p>
    <w:tbl>
      <w:tblPr>
        <w:tblStyle w:val="33"/>
        <w:tblW w:w="8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057"/>
        <w:gridCol w:w="850"/>
        <w:gridCol w:w="851"/>
        <w:gridCol w:w="850"/>
        <w:gridCol w:w="992"/>
        <w:gridCol w:w="1180"/>
        <w:gridCol w:w="992"/>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7" w:type="dxa"/>
            <w:vMerge w:val="restart"/>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乡镇级</w:t>
            </w:r>
          </w:p>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指标</w:t>
            </w:r>
          </w:p>
        </w:tc>
        <w:tc>
          <w:tcPr>
            <w:tcW w:w="1057" w:type="dxa"/>
            <w:vMerge w:val="restart"/>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总户数</w:t>
            </w:r>
          </w:p>
        </w:tc>
        <w:tc>
          <w:tcPr>
            <w:tcW w:w="850" w:type="dxa"/>
            <w:vMerge w:val="restart"/>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总人口</w:t>
            </w:r>
          </w:p>
        </w:tc>
        <w:tc>
          <w:tcPr>
            <w:tcW w:w="1701" w:type="dxa"/>
            <w:gridSpan w:val="2"/>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性别</w:t>
            </w:r>
          </w:p>
        </w:tc>
        <w:tc>
          <w:tcPr>
            <w:tcW w:w="2172" w:type="dxa"/>
            <w:gridSpan w:val="2"/>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年龄</w:t>
            </w:r>
          </w:p>
        </w:tc>
        <w:tc>
          <w:tcPr>
            <w:tcW w:w="992" w:type="dxa"/>
            <w:vMerge w:val="restart"/>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场镇</w:t>
            </w:r>
          </w:p>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人口</w:t>
            </w:r>
          </w:p>
        </w:tc>
        <w:tc>
          <w:tcPr>
            <w:tcW w:w="817" w:type="dxa"/>
            <w:vMerge w:val="restart"/>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乡村</w:t>
            </w:r>
          </w:p>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7"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c>
          <w:tcPr>
            <w:tcW w:w="1057"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c>
          <w:tcPr>
            <w:tcW w:w="850"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c>
          <w:tcPr>
            <w:tcW w:w="851" w:type="dxa"/>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男</w:t>
            </w:r>
          </w:p>
        </w:tc>
        <w:tc>
          <w:tcPr>
            <w:tcW w:w="850" w:type="dxa"/>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女</w:t>
            </w:r>
          </w:p>
        </w:tc>
        <w:tc>
          <w:tcPr>
            <w:tcW w:w="992" w:type="dxa"/>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18岁以下</w:t>
            </w:r>
          </w:p>
        </w:tc>
        <w:tc>
          <w:tcPr>
            <w:tcW w:w="1180" w:type="dxa"/>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60岁以上</w:t>
            </w:r>
          </w:p>
        </w:tc>
        <w:tc>
          <w:tcPr>
            <w:tcW w:w="992"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c>
          <w:tcPr>
            <w:tcW w:w="817"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竹根镇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30905</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76767</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37455</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39312</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7860</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24023</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61618</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15149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牛华镇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18921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49674</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24891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24783</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5221</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14587</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18524</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金山镇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14951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37292</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19146</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18146</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4159</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10078</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7244</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金粟镇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14193</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32446</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16431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16015</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3284</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9065</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19669</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石麟镇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8911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23159</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12032</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11127</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2441</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5605</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3191</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西坝镇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7951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23955</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12117</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11838</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3087</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5837</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4570</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冠英镇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16518</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40614</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19735</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20879</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5812</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9356</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12867</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27747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蔡金镇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5756</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14601</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7561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7040</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1622</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3716</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1619</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合计</w:t>
            </w:r>
          </w:p>
        </w:tc>
        <w:tc>
          <w:tcPr>
            <w:tcW w:w="1057"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118106</w:t>
            </w:r>
          </w:p>
        </w:tc>
        <w:tc>
          <w:tcPr>
            <w:tcW w:w="850"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298508</w:t>
            </w:r>
          </w:p>
        </w:tc>
        <w:tc>
          <w:tcPr>
            <w:tcW w:w="851"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149368</w:t>
            </w:r>
          </w:p>
        </w:tc>
        <w:tc>
          <w:tcPr>
            <w:tcW w:w="850"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149140</w:t>
            </w:r>
          </w:p>
        </w:tc>
        <w:tc>
          <w:tcPr>
            <w:tcW w:w="992"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33486</w:t>
            </w:r>
          </w:p>
        </w:tc>
        <w:tc>
          <w:tcPr>
            <w:tcW w:w="1180"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82267</w:t>
            </w:r>
          </w:p>
        </w:tc>
        <w:tc>
          <w:tcPr>
            <w:tcW w:w="992"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129302</w:t>
            </w:r>
          </w:p>
        </w:tc>
        <w:tc>
          <w:tcPr>
            <w:tcW w:w="817"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169206</w:t>
            </w:r>
          </w:p>
        </w:tc>
      </w:tr>
    </w:tbl>
    <w:p>
      <w:pPr>
        <w:pStyle w:val="5"/>
        <w:snapToGrid w:val="0"/>
        <w:spacing w:beforeLines="0"/>
        <w:jc w:val="center"/>
        <w:rPr>
          <w:rStyle w:val="95"/>
          <w:rFonts w:ascii="仿宋" w:hAnsi="仿宋" w:eastAsia="仿宋" w:cs="仿宋"/>
          <w:sz w:val="30"/>
        </w:rPr>
      </w:pPr>
      <w:bookmarkStart w:id="133" w:name="_Toc143011761"/>
      <w:bookmarkStart w:id="134" w:name="_Toc468259770"/>
      <w:bookmarkStart w:id="135" w:name="_Toc138319869"/>
      <w:bookmarkStart w:id="136" w:name="_Toc468259632"/>
      <w:bookmarkStart w:id="137" w:name="_Toc469046096"/>
      <w:bookmarkStart w:id="138" w:name="_Toc144182622"/>
      <w:bookmarkStart w:id="139" w:name="_Toc23224"/>
      <w:bookmarkStart w:id="140" w:name="_Toc7785"/>
      <w:bookmarkStart w:id="141" w:name="_Toc143011869"/>
      <w:bookmarkStart w:id="142" w:name="_Toc195378384"/>
      <w:bookmarkStart w:id="143" w:name="_Toc23974"/>
      <w:bookmarkStart w:id="144" w:name="_Toc32166"/>
      <w:bookmarkStart w:id="145" w:name="_Toc143008161"/>
      <w:bookmarkStart w:id="146" w:name="_Toc330300907"/>
      <w:r>
        <w:rPr>
          <w:rStyle w:val="95"/>
          <w:rFonts w:hint="eastAsia" w:ascii="仿宋" w:hAnsi="仿宋" w:eastAsia="仿宋" w:cs="仿宋"/>
          <w:sz w:val="30"/>
        </w:rPr>
        <w:t>第四节  地质环境条件</w:t>
      </w:r>
      <w:bookmarkEnd w:id="133"/>
      <w:bookmarkEnd w:id="134"/>
      <w:bookmarkEnd w:id="135"/>
      <w:bookmarkEnd w:id="136"/>
      <w:bookmarkEnd w:id="137"/>
      <w:bookmarkEnd w:id="138"/>
      <w:bookmarkEnd w:id="139"/>
      <w:bookmarkEnd w:id="140"/>
      <w:bookmarkEnd w:id="141"/>
      <w:bookmarkEnd w:id="142"/>
      <w:bookmarkEnd w:id="143"/>
      <w:bookmarkEnd w:id="144"/>
      <w:bookmarkEnd w:id="145"/>
    </w:p>
    <w:p>
      <w:pPr>
        <w:pStyle w:val="6"/>
        <w:snapToGrid w:val="0"/>
        <w:spacing w:beforeLines="0" w:afterLines="0"/>
        <w:ind w:firstLine="562" w:firstLineChars="200"/>
        <w:rPr>
          <w:rFonts w:cs="仿宋"/>
          <w:szCs w:val="28"/>
        </w:rPr>
      </w:pPr>
      <w:bookmarkStart w:id="147" w:name="_Toc29783"/>
      <w:bookmarkStart w:id="148" w:name="_Toc29113"/>
      <w:bookmarkStart w:id="149" w:name="_Toc469046097"/>
      <w:bookmarkStart w:id="150" w:name="_Toc468260282"/>
      <w:bookmarkStart w:id="151" w:name="_Toc468221664"/>
      <w:bookmarkStart w:id="152" w:name="_Toc468259633"/>
      <w:bookmarkStart w:id="153" w:name="_Toc2585"/>
      <w:bookmarkStart w:id="154" w:name="_Toc468259771"/>
      <w:bookmarkStart w:id="155" w:name="_Toc138319870"/>
      <w:bookmarkStart w:id="156" w:name="_Toc143011762"/>
      <w:bookmarkStart w:id="157" w:name="_Toc143008162"/>
      <w:r>
        <w:rPr>
          <w:rFonts w:hint="eastAsia" w:cs="仿宋"/>
          <w:szCs w:val="28"/>
        </w:rPr>
        <w:t>一、地形地貌</w:t>
      </w:r>
      <w:bookmarkEnd w:id="147"/>
      <w:bookmarkEnd w:id="148"/>
      <w:bookmarkEnd w:id="149"/>
      <w:bookmarkEnd w:id="150"/>
      <w:bookmarkEnd w:id="151"/>
      <w:bookmarkEnd w:id="152"/>
      <w:bookmarkEnd w:id="153"/>
      <w:bookmarkEnd w:id="154"/>
      <w:bookmarkEnd w:id="155"/>
      <w:bookmarkEnd w:id="156"/>
      <w:bookmarkEnd w:id="157"/>
    </w:p>
    <w:bookmarkEnd w:id="146"/>
    <w:p>
      <w:pPr>
        <w:widowControl/>
        <w:snapToGrid w:val="0"/>
        <w:ind w:firstLine="560"/>
        <w:jc w:val="left"/>
        <w:rPr>
          <w:rFonts w:ascii="宋体" w:hAnsi="宋体"/>
          <w:color w:val="0070C0"/>
        </w:rPr>
      </w:pPr>
      <w:bookmarkStart w:id="158" w:name="_Toc330300908"/>
      <w:r>
        <w:rPr>
          <w:rFonts w:hint="eastAsia" w:ascii="仿宋" w:hAnsi="仿宋" w:eastAsia="仿宋" w:cs="仿宋"/>
          <w:sz w:val="28"/>
          <w:szCs w:val="28"/>
        </w:rPr>
        <w:t>五通桥区地处四川盆地西南缘，区域上属于三级盆地中切丘陵区。岷江由北向南纵贯全境，将丘陵区分为东西两大片，冲积形成北宽南窄的沿江平坝。总的地势北高南低且东西高中部低，属丘陵地貌。次级地貌有低山、深丘、浅丘和河谷平坝。西南部的高峰寺，是全区的最高点，海拔737.2米，南端双旋坝为最低点，海拔331.0米。沿江平坝主要由河漫滩、河心洲坝与一级阶地组成，平均海拔为350米；浅丘地带平均海拔383米。丘间宽谷纵横交错，谷宽大于100米，相对高差小于30米，形态多为台状和趾状，以缓丘谷带小坝子地貌为多见。区境内北部及中部地带海拔介于400～500米之间，相对高差较大，切割较深，起伏较大，为中切割多形态深丘地貌。西南部低山区属低山地带，平均海拔500米以上，切割深，起伏大，多为深沟宽谷的低中山地貌。按地貌学及全国地貌区划指标分类，将全区分为四种地貌类型，见插图2-6和插表2-4</w:t>
      </w:r>
      <w:r>
        <w:rPr>
          <w:rFonts w:hint="eastAsia" w:ascii="宋体" w:hAnsi="宋体"/>
          <w:color w:val="0070C0"/>
        </w:rPr>
        <w:t>。</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1、低山区</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位于西南部，分布在沫溪河以南的西坝、石麟两镇的部分村组。该区地势起伏大，切割深，多为深沟窄谷低山地貌，海拔一般在520～735m之间，坡度多在20°以上，相对高差大于200m，高峰寺是全区的最高点，海拔737.20m。形成该区的制高区域，该地区位于平原区与中山区交界的结合部地带，面积为52.82平方公里，占全区幅员面积11.4%。</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2、深丘区</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海拔345～470米，平均海拔415米，相对高差100～120米，谷宽小于100米，以深丘窄谷地貌为主。面积为159.9平方公里，占全区幅员面积34.3%。</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3、浅丘区</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以台状和趾状浅丘为主，具有圆丘、塔状丘、脊状丘等多种形态，沟谷一般较为宽缓，海拔在340～390米之间，平均海拔383米，相对高差30～50米，谷宽大于100米，以缓丘谷带小坝地貌相结合。面积为162.6平方公里，占全区幅员面积34.9%。</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4、河谷平坝区</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主要集中于岷江两岸，由第四系全新统冲洪积物质构成，地貌为河漫滩，河心洲坝与一级阶地；平均海拔350米，一般高出江面3～5米，属川西平原最南端。面积为90.2平方公里，占全区幅员面积19.4%。</w:t>
      </w:r>
    </w:p>
    <w:p>
      <w:pPr>
        <w:snapToGrid w:val="0"/>
        <w:ind w:firstLine="480"/>
        <w:rPr>
          <w:color w:val="0070C0"/>
        </w:rPr>
      </w:pPr>
    </w:p>
    <w:tbl>
      <w:tblPr>
        <w:tblStyle w:val="33"/>
        <w:tblW w:w="9707" w:type="dxa"/>
        <w:tblInd w:w="0" w:type="dxa"/>
        <w:tblLayout w:type="autofit"/>
        <w:tblCellMar>
          <w:top w:w="0" w:type="dxa"/>
          <w:left w:w="108" w:type="dxa"/>
          <w:bottom w:w="0" w:type="dxa"/>
          <w:right w:w="108" w:type="dxa"/>
        </w:tblCellMar>
      </w:tblPr>
      <w:tblGrid>
        <w:gridCol w:w="9733"/>
      </w:tblGrid>
      <w:tr>
        <w:tblPrEx>
          <w:tblCellMar>
            <w:top w:w="0" w:type="dxa"/>
            <w:left w:w="108" w:type="dxa"/>
            <w:bottom w:w="0" w:type="dxa"/>
            <w:right w:w="108" w:type="dxa"/>
          </w:tblCellMar>
        </w:tblPrEx>
        <w:trPr>
          <w:trHeight w:val="7135" w:hRule="atLeast"/>
        </w:trPr>
        <w:tc>
          <w:tcPr>
            <w:tcW w:w="9707" w:type="dxa"/>
          </w:tcPr>
          <w:p>
            <w:pPr>
              <w:snapToGrid w:val="0"/>
              <w:ind w:firstLine="0" w:firstLineChars="0"/>
              <w:rPr>
                <w:color w:val="0070C0"/>
              </w:rPr>
            </w:pPr>
            <w:r>
              <w:rPr>
                <w:color w:val="0070C0"/>
                <w:szCs w:val="22"/>
              </w:rPr>
              <w:drawing>
                <wp:inline distT="0" distB="0" distL="114300" distR="114300">
                  <wp:extent cx="6043295" cy="472186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8"/>
                          <a:stretch>
                            <a:fillRect/>
                          </a:stretch>
                        </pic:blipFill>
                        <pic:spPr>
                          <a:xfrm>
                            <a:off x="0" y="0"/>
                            <a:ext cx="6053367" cy="4729729"/>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84" w:hRule="atLeast"/>
        </w:trPr>
        <w:tc>
          <w:tcPr>
            <w:tcW w:w="9707" w:type="dxa"/>
          </w:tcPr>
          <w:p>
            <w:pPr>
              <w:snapToGrid w:val="0"/>
              <w:ind w:firstLine="2448" w:firstLineChars="1161"/>
              <w:rPr>
                <w:b/>
              </w:rPr>
            </w:pPr>
            <w:r>
              <w:rPr>
                <w:rFonts w:hint="eastAsia" w:ascii="仿宋" w:hAnsi="仿宋" w:eastAsia="仿宋" w:cs="仿宋"/>
                <w:b/>
                <w:sz w:val="21"/>
                <w:szCs w:val="21"/>
              </w:rPr>
              <w:t>图2-6  乐山市五通桥区地貌类型图</w:t>
            </w:r>
          </w:p>
        </w:tc>
      </w:tr>
    </w:tbl>
    <w:p>
      <w:pPr>
        <w:snapToGrid w:val="0"/>
        <w:ind w:firstLine="482"/>
        <w:jc w:val="center"/>
        <w:rPr>
          <w:b/>
          <w:szCs w:val="21"/>
          <w:lang w:val="en-GB"/>
        </w:rPr>
      </w:pPr>
      <w:bookmarkStart w:id="159" w:name="_Toc138319871"/>
      <w:bookmarkStart w:id="160" w:name="_Toc124651272"/>
      <w:bookmarkStart w:id="161" w:name="_Toc124579051"/>
      <w:bookmarkStart w:id="162" w:name="_Toc124582949"/>
      <w:bookmarkStart w:id="163" w:name="_Toc468260283"/>
      <w:bookmarkStart w:id="164" w:name="_Toc124582111"/>
      <w:bookmarkStart w:id="165" w:name="_Toc468221665"/>
      <w:bookmarkStart w:id="166" w:name="_Toc468259634"/>
      <w:bookmarkStart w:id="167" w:name="_Toc128902806"/>
      <w:bookmarkStart w:id="168" w:name="_Toc124582892"/>
      <w:bookmarkStart w:id="169" w:name="_Toc124578075"/>
      <w:bookmarkStart w:id="170" w:name="_Toc124577700"/>
      <w:bookmarkStart w:id="171" w:name="_Toc143011763"/>
      <w:bookmarkStart w:id="172" w:name="_Toc468259772"/>
      <w:bookmarkStart w:id="173" w:name="_Toc469046098"/>
      <w:bookmarkStart w:id="174" w:name="_Toc143008163"/>
    </w:p>
    <w:p>
      <w:pPr>
        <w:snapToGrid w:val="0"/>
        <w:ind w:firstLine="482"/>
        <w:jc w:val="center"/>
        <w:rPr>
          <w:b/>
          <w:szCs w:val="21"/>
          <w:lang w:val="en-GB"/>
        </w:rPr>
      </w:pPr>
    </w:p>
    <w:p>
      <w:pPr>
        <w:snapToGrid w:val="0"/>
        <w:ind w:firstLine="422"/>
        <w:jc w:val="center"/>
        <w:rPr>
          <w:rFonts w:ascii="仿宋" w:hAnsi="仿宋" w:eastAsia="仿宋" w:cs="仿宋"/>
          <w:sz w:val="21"/>
          <w:szCs w:val="21"/>
        </w:rPr>
      </w:pPr>
      <w:r>
        <w:rPr>
          <w:rFonts w:hint="eastAsia" w:ascii="仿宋" w:hAnsi="仿宋" w:eastAsia="仿宋" w:cs="仿宋"/>
          <w:b/>
          <w:sz w:val="21"/>
          <w:szCs w:val="21"/>
          <w:lang w:val="en-GB"/>
        </w:rPr>
        <w:t>表2-</w:t>
      </w:r>
      <w:r>
        <w:rPr>
          <w:rFonts w:hint="eastAsia" w:ascii="仿宋" w:hAnsi="仿宋" w:eastAsia="仿宋" w:cs="仿宋"/>
          <w:b/>
          <w:sz w:val="21"/>
          <w:szCs w:val="21"/>
        </w:rPr>
        <w:t>4</w:t>
      </w:r>
      <w:r>
        <w:rPr>
          <w:rFonts w:hint="eastAsia" w:ascii="仿宋" w:hAnsi="仿宋" w:eastAsia="仿宋" w:cs="仿宋"/>
          <w:b/>
          <w:sz w:val="21"/>
          <w:szCs w:val="21"/>
          <w:lang w:val="en-GB"/>
        </w:rPr>
        <w:t xml:space="preserve">  五通桥区地貌类型表</w:t>
      </w:r>
    </w:p>
    <w:tbl>
      <w:tblPr>
        <w:tblStyle w:val="33"/>
        <w:tblW w:w="85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0"/>
        <w:gridCol w:w="1304"/>
        <w:gridCol w:w="1081"/>
        <w:gridCol w:w="1820"/>
        <w:gridCol w:w="314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型</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相对高度（m）</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分布面积</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（km</w:t>
            </w:r>
            <w:r>
              <w:rPr>
                <w:rFonts w:hint="eastAsia" w:ascii="仿宋" w:hAnsi="仿宋" w:eastAsia="仿宋" w:cs="仿宋"/>
                <w:sz w:val="21"/>
                <w:szCs w:val="21"/>
                <w:vertAlign w:val="superscript"/>
              </w:rPr>
              <w:t>2</w:t>
            </w:r>
            <w:r>
              <w:rPr>
                <w:rFonts w:hint="eastAsia" w:ascii="仿宋" w:hAnsi="仿宋" w:eastAsia="仿宋" w:cs="仿宋"/>
                <w:sz w:val="21"/>
                <w:szCs w:val="21"/>
              </w:rPr>
              <w:t>）</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占区域面积比例</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分布范围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3"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低山地貌</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＞200</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52.83</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11.35</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主要分布于区境内西南部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深丘地貌</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100～200</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159.90</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34.35</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分布于境内中西部及东部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浅丘地貌</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20～50</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162.60</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34.93</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分布于境内西南部及中东部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平坝地貌</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＜20</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90.20</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19.37</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分布于岷江沿岸地带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合计</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465.67</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100</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p>
        </w:tc>
      </w:tr>
    </w:tbl>
    <w:p>
      <w:pPr>
        <w:pStyle w:val="6"/>
        <w:snapToGrid w:val="0"/>
        <w:spacing w:beforeLines="0" w:afterLines="0"/>
        <w:ind w:firstLine="562" w:firstLineChars="200"/>
        <w:rPr>
          <w:rFonts w:cs="仿宋"/>
          <w:szCs w:val="28"/>
        </w:rPr>
      </w:pPr>
      <w:bookmarkStart w:id="175" w:name="_Toc18665"/>
      <w:bookmarkStart w:id="176" w:name="_Toc3995"/>
      <w:bookmarkStart w:id="177" w:name="_Toc24349"/>
      <w:r>
        <w:rPr>
          <w:rFonts w:hint="eastAsia" w:cs="仿宋"/>
          <w:szCs w:val="28"/>
        </w:rPr>
        <w:t>二、地层岩性</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bookmarkEnd w:id="158"/>
    <w:p>
      <w:pPr>
        <w:widowControl/>
        <w:snapToGrid w:val="0"/>
        <w:ind w:firstLine="560"/>
        <w:rPr>
          <w:rFonts w:ascii="仿宋" w:hAnsi="仿宋" w:eastAsia="仿宋" w:cs="仿宋"/>
          <w:sz w:val="28"/>
          <w:szCs w:val="28"/>
        </w:rPr>
      </w:pPr>
      <w:bookmarkStart w:id="178" w:name="_Toc330300909"/>
      <w:r>
        <w:rPr>
          <w:rFonts w:hint="eastAsia" w:ascii="仿宋" w:hAnsi="仿宋" w:eastAsia="仿宋" w:cs="仿宋"/>
          <w:sz w:val="28"/>
          <w:szCs w:val="28"/>
        </w:rPr>
        <w:t>区境内出露的地层主要以第四系冲洪积层、残坡积层、侏罗系碎屑岩及三叠系须家河组沉积岩。现将地层由老至新分述如下：（见表2-5，图2-7）</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（1）三叠系上统须家河组（T</w:t>
      </w:r>
      <w:r>
        <w:rPr>
          <w:rFonts w:hint="eastAsia" w:ascii="仿宋" w:hAnsi="仿宋" w:eastAsia="仿宋" w:cs="仿宋"/>
          <w:sz w:val="28"/>
          <w:szCs w:val="28"/>
          <w:vertAlign w:val="subscript"/>
        </w:rPr>
        <w:t>3</w:t>
      </w:r>
      <w:r>
        <w:rPr>
          <w:rFonts w:hint="eastAsia" w:ascii="仿宋" w:hAnsi="仿宋" w:eastAsia="仿宋" w:cs="仿宋"/>
          <w:sz w:val="28"/>
          <w:szCs w:val="28"/>
        </w:rPr>
        <w:t>xj）：分布于工作区西南部低山－丘陵山坡及顶部，该组是区境内主要的含煤地层，按岩性及沉积旋回可分为五个岩性段和上下两个亚组。主要分布于区境内的产煤区，即金粟镇、西坝镇和石磷镇的部份村。厚度520--736米。出露产状为300°∠6°、110°∠7，在老龙坝背斜两边出露产状为355°∠6°、155°∠5°。</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（2）侏罗系下-中统自流井组（J</w:t>
      </w:r>
      <w:r>
        <w:rPr>
          <w:rFonts w:hint="eastAsia" w:ascii="仿宋" w:hAnsi="仿宋" w:eastAsia="仿宋" w:cs="仿宋"/>
          <w:sz w:val="28"/>
          <w:szCs w:val="28"/>
          <w:vertAlign w:val="subscript"/>
        </w:rPr>
        <w:t>1-2</w:t>
      </w:r>
      <w:r>
        <w:rPr>
          <w:rFonts w:hint="eastAsia" w:ascii="仿宋" w:hAnsi="仿宋" w:eastAsia="仿宋" w:cs="仿宋"/>
          <w:sz w:val="28"/>
          <w:szCs w:val="28"/>
        </w:rPr>
        <w:t>z）：该组包括东岳庙段、马鞍山段和大安寨段三个岩性段，分布于区境内的中部、西南部和东南部，即竹根镇、西坝镇、石磷镇、沫溪河两岸，茫溪河南岸丘陵地区的原辉山镇、桥沟镇、金粟镇接壤地带各村。为紫红色、暗紫色泥岩、砂质泥岩夹粉砂岩、石英砂岩、泥灰岩，厚224～314米。出露产状为127°∠4°，205°∠5°。</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（3）侏罗系中统沙溪庙组（J</w:t>
      </w:r>
      <w:r>
        <w:rPr>
          <w:rFonts w:hint="eastAsia" w:ascii="仿宋" w:hAnsi="仿宋" w:eastAsia="仿宋" w:cs="仿宋"/>
          <w:sz w:val="28"/>
          <w:szCs w:val="28"/>
          <w:vertAlign w:val="subscript"/>
        </w:rPr>
        <w:t>2</w:t>
      </w:r>
      <w:r>
        <w:rPr>
          <w:rFonts w:hint="eastAsia" w:ascii="仿宋" w:hAnsi="仿宋" w:eastAsia="仿宋" w:cs="仿宋"/>
          <w:sz w:val="28"/>
          <w:szCs w:val="28"/>
        </w:rPr>
        <w:t>s）：主要为一套紫红色、灰绿色细---中粒长石石英砂区境内岩、粉砂岩与泥岩等，组成多个正韵律层。在区境内主要分布于：北至牛华镇至蔡金镇一线，西南至沫溪河沿岸的石磷镇浅丘地带及沫溪河，东南至茫溪河沿岸的金山镇和辉山镇的大部份村及金粟镇的刘家山村一带。沙溪庙组分为上、下两段，上段（J</w:t>
      </w:r>
      <w:r>
        <w:rPr>
          <w:rFonts w:hint="eastAsia" w:ascii="仿宋" w:hAnsi="仿宋" w:eastAsia="仿宋" w:cs="仿宋"/>
          <w:sz w:val="28"/>
          <w:szCs w:val="28"/>
          <w:vertAlign w:val="subscript"/>
        </w:rPr>
        <w:t>2</w:t>
      </w:r>
      <w:r>
        <w:rPr>
          <w:rFonts w:hint="eastAsia" w:ascii="仿宋" w:hAnsi="仿宋" w:eastAsia="仿宋" w:cs="仿宋"/>
          <w:sz w:val="28"/>
          <w:szCs w:val="28"/>
        </w:rPr>
        <w:t>ss）为紫红色砂质泥岩、泥质细砂岩夹多层紫灰色长石石英细砂岩，并含有石膏薄层及方解石脉、重晶石脉。泥岩多含钙质，局部出现钙质结核。底部是中厚层—块状中至细粒长石石英砂岩，一般厚13～47米。下段（J</w:t>
      </w:r>
      <w:r>
        <w:rPr>
          <w:rFonts w:hint="eastAsia" w:ascii="仿宋" w:hAnsi="仿宋" w:eastAsia="仿宋" w:cs="仿宋"/>
          <w:sz w:val="28"/>
          <w:szCs w:val="28"/>
          <w:vertAlign w:val="subscript"/>
        </w:rPr>
        <w:t>2</w:t>
      </w:r>
      <w:r>
        <w:rPr>
          <w:rFonts w:hint="eastAsia" w:ascii="仿宋" w:hAnsi="仿宋" w:eastAsia="仿宋" w:cs="仿宋"/>
          <w:sz w:val="28"/>
          <w:szCs w:val="28"/>
        </w:rPr>
        <w:t>xs）为紫红色泥岩、砂质泥岩夹紫灰色、灰色厚层状长石石英砂岩，砂岩沿走向时厚时薄，或呈大的透镜体产生。层厚512～663米。出露产状为130°∠11°，205°∠5°，315°∠8°。</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（4）侏罗系上统遂宁组（J</w:t>
      </w:r>
      <w:r>
        <w:rPr>
          <w:rFonts w:hint="eastAsia" w:ascii="仿宋" w:hAnsi="仿宋" w:eastAsia="仿宋" w:cs="仿宋"/>
          <w:sz w:val="28"/>
          <w:szCs w:val="28"/>
          <w:vertAlign w:val="subscript"/>
        </w:rPr>
        <w:t>3</w:t>
      </w:r>
      <w:r>
        <w:rPr>
          <w:rFonts w:hint="eastAsia" w:ascii="仿宋" w:hAnsi="仿宋" w:eastAsia="仿宋" w:cs="仿宋"/>
          <w:sz w:val="28"/>
          <w:szCs w:val="28"/>
        </w:rPr>
        <w:t>sn）：为一套河湖相棕色泥岩夹砂岩组成，与上覆蓬莱镇组和下伏沙溪庙组均呈整合接触。主要分布于区境内的蔡金镇及牛华镇以北，厚200～311米。出露产状为12°∠5°。</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（5）侏罗系上统蓬莱镇组（J</w:t>
      </w:r>
      <w:r>
        <w:rPr>
          <w:rFonts w:hint="eastAsia" w:ascii="仿宋" w:hAnsi="仿宋" w:eastAsia="仿宋" w:cs="仿宋"/>
          <w:sz w:val="28"/>
          <w:szCs w:val="28"/>
          <w:vertAlign w:val="subscript"/>
        </w:rPr>
        <w:t>3</w:t>
      </w:r>
      <w:r>
        <w:rPr>
          <w:rFonts w:hint="eastAsia" w:ascii="仿宋" w:hAnsi="仿宋" w:eastAsia="仿宋" w:cs="仿宋"/>
          <w:sz w:val="28"/>
          <w:szCs w:val="28"/>
        </w:rPr>
        <w:t>p）：该组出露范围同遂宁组，主要为一套棕红色至砖红色钙质、粉砂质泥岩夹棕红色粉砂岩透镜体，与下伏遂宁组为连续过渡。主要分布于区境内原新云乡的农乐村、华联村一线以北及蔡金镇的鸭口山村、章庙村到复兴村一线以北地带。出露产状为325°∠4°、186°∠6°、106°∠5°。</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（6）第四系全新统冲洪积层（Q</w:t>
      </w:r>
      <w:r>
        <w:rPr>
          <w:rFonts w:hint="eastAsia" w:ascii="仿宋" w:hAnsi="仿宋" w:eastAsia="仿宋" w:cs="仿宋"/>
          <w:sz w:val="28"/>
          <w:szCs w:val="28"/>
          <w:vertAlign w:val="subscript"/>
        </w:rPr>
        <w:t>4</w:t>
      </w:r>
      <w:r>
        <w:rPr>
          <w:rFonts w:hint="eastAsia" w:ascii="仿宋" w:hAnsi="仿宋" w:eastAsia="仿宋" w:cs="仿宋"/>
          <w:sz w:val="28"/>
          <w:szCs w:val="28"/>
        </w:rPr>
        <w:t xml:space="preserve"> </w:t>
      </w:r>
      <w:r>
        <w:rPr>
          <w:rFonts w:hint="eastAsia" w:ascii="仿宋" w:hAnsi="仿宋" w:eastAsia="仿宋" w:cs="仿宋"/>
          <w:sz w:val="28"/>
          <w:szCs w:val="28"/>
          <w:vertAlign w:val="superscript"/>
        </w:rPr>
        <w:t>al + pl</w:t>
      </w:r>
      <w:r>
        <w:rPr>
          <w:rFonts w:hint="eastAsia" w:ascii="仿宋" w:hAnsi="仿宋" w:eastAsia="仿宋" w:cs="仿宋"/>
          <w:sz w:val="28"/>
          <w:szCs w:val="28"/>
        </w:rPr>
        <w:t>）：河漫滩冲积层，主要分布于现代河谷及两岸Ⅰ级阶地，一般高出现代河床3～10米，具近代河流冲积与洪积层二元结构，下部为河床相砾石层，上部为河漫滩相沙土与亚粘土。是构成沿河Ⅰ级阶地及河漫滩的组成物质。主要分布于区境岷江洲坝、河漫滩与沿岸Ⅰ级阶地，即竹根镇、牛华镇、冠英镇、西坝镇及金粟镇。层厚6～30米。</w:t>
      </w:r>
    </w:p>
    <w:p>
      <w:pPr>
        <w:snapToGrid w:val="0"/>
        <w:ind w:firstLine="560"/>
        <w:rPr>
          <w:rFonts w:ascii="仿宋" w:hAnsi="仿宋" w:eastAsia="仿宋" w:cs="仿宋"/>
          <w:sz w:val="28"/>
          <w:szCs w:val="28"/>
        </w:rPr>
      </w:pPr>
      <w:r>
        <w:rPr>
          <w:rFonts w:hint="eastAsia" w:ascii="仿宋" w:hAnsi="仿宋" w:eastAsia="仿宋" w:cs="仿宋"/>
          <w:sz w:val="28"/>
          <w:szCs w:val="28"/>
        </w:rPr>
        <w:t>残坡积物（Q</w:t>
      </w:r>
      <w:r>
        <w:rPr>
          <w:rFonts w:hint="eastAsia" w:ascii="仿宋" w:hAnsi="仿宋" w:eastAsia="仿宋" w:cs="仿宋"/>
          <w:sz w:val="28"/>
          <w:szCs w:val="28"/>
          <w:vertAlign w:val="subscript"/>
        </w:rPr>
        <w:t>4</w:t>
      </w:r>
      <w:r>
        <w:rPr>
          <w:rFonts w:hint="eastAsia" w:ascii="仿宋" w:hAnsi="仿宋" w:eastAsia="仿宋" w:cs="仿宋"/>
          <w:sz w:val="28"/>
          <w:szCs w:val="28"/>
          <w:vertAlign w:val="superscript"/>
        </w:rPr>
        <w:t>el＋dl</w:t>
      </w:r>
      <w:r>
        <w:rPr>
          <w:rFonts w:hint="eastAsia" w:ascii="仿宋" w:hAnsi="仿宋" w:eastAsia="仿宋" w:cs="仿宋"/>
          <w:sz w:val="28"/>
          <w:szCs w:val="28"/>
        </w:rPr>
        <w:t>）：主要分布于丘陵区丘间洼地中，主要为褐色、棕红色粘土、砂质粘土沉积，下部常夹块碎石，有时可见淤泥质粘土层。其次，分布于低山丘陵区的丘顶、山顶、坡麓和中至缓斜坡地带，厚度变化较大，一般1-5米厚，岩性主要为棕红色、褐黄色粉质粘土或粘质粉土，夹少量块石、碎石和角砾。平面上不连续分布，面积大小不一，垂向上多于基岩呈不整合接触。</w:t>
      </w:r>
    </w:p>
    <w:p>
      <w:pPr>
        <w:adjustRightInd w:val="0"/>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lang w:val="en-GB"/>
        </w:rPr>
        <w:t>表2-</w:t>
      </w:r>
      <w:r>
        <w:rPr>
          <w:rFonts w:hint="eastAsia" w:ascii="仿宋" w:hAnsi="仿宋" w:eastAsia="仿宋" w:cs="仿宋"/>
          <w:b/>
          <w:sz w:val="21"/>
          <w:szCs w:val="21"/>
        </w:rPr>
        <w:t>5</w:t>
      </w:r>
      <w:r>
        <w:rPr>
          <w:rFonts w:hint="eastAsia" w:ascii="仿宋" w:hAnsi="仿宋" w:eastAsia="仿宋" w:cs="仿宋"/>
          <w:b/>
          <w:sz w:val="21"/>
          <w:szCs w:val="21"/>
          <w:lang w:val="en-GB"/>
        </w:rPr>
        <w:t xml:space="preserve"> </w:t>
      </w:r>
      <w:r>
        <w:rPr>
          <w:rFonts w:hint="eastAsia" w:ascii="仿宋" w:hAnsi="仿宋" w:eastAsia="仿宋" w:cs="仿宋"/>
          <w:b/>
          <w:sz w:val="21"/>
          <w:szCs w:val="21"/>
        </w:rPr>
        <w:t xml:space="preserve"> 五通桥地层分布一览表</w:t>
      </w:r>
    </w:p>
    <w:tbl>
      <w:tblPr>
        <w:tblStyle w:val="33"/>
        <w:tblW w:w="897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69"/>
        <w:gridCol w:w="737"/>
        <w:gridCol w:w="707"/>
        <w:gridCol w:w="1275"/>
        <w:gridCol w:w="705"/>
        <w:gridCol w:w="3118"/>
        <w:gridCol w:w="934"/>
        <w:gridCol w:w="9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界</w:t>
            </w:r>
          </w:p>
        </w:tc>
        <w:tc>
          <w:tcPr>
            <w:tcW w:w="73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系</w:t>
            </w:r>
          </w:p>
        </w:tc>
        <w:tc>
          <w:tcPr>
            <w:tcW w:w="70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代号</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分布乡镇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面积</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lang w:val="en-GB"/>
              </w:rPr>
              <w:t>（</w:t>
            </w:r>
            <w:r>
              <w:rPr>
                <w:rFonts w:hint="eastAsia" w:ascii="仿宋" w:hAnsi="仿宋" w:eastAsia="仿宋" w:cs="仿宋"/>
                <w:snapToGrid w:val="0"/>
                <w:kern w:val="0"/>
                <w:sz w:val="21"/>
                <w:szCs w:val="21"/>
              </w:rPr>
              <w:t>km</w:t>
            </w:r>
            <w:r>
              <w:rPr>
                <w:rFonts w:hint="eastAsia" w:ascii="仿宋" w:hAnsi="仿宋" w:eastAsia="仿宋" w:cs="仿宋"/>
                <w:snapToGrid w:val="0"/>
                <w:kern w:val="0"/>
                <w:sz w:val="21"/>
                <w:szCs w:val="21"/>
                <w:vertAlign w:val="superscript"/>
              </w:rPr>
              <w:t>2</w:t>
            </w:r>
            <w:r>
              <w:rPr>
                <w:rFonts w:hint="eastAsia" w:ascii="仿宋" w:hAnsi="仿宋" w:eastAsia="仿宋" w:cs="仿宋"/>
                <w:snapToGrid w:val="0"/>
                <w:kern w:val="0"/>
                <w:sz w:val="21"/>
                <w:szCs w:val="21"/>
                <w:lang w:val="en-GB"/>
              </w:rPr>
              <w:t>）</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比例</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新生</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界</w:t>
            </w:r>
          </w:p>
        </w:tc>
        <w:tc>
          <w:tcPr>
            <w:tcW w:w="73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第四</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系</w:t>
            </w:r>
          </w:p>
        </w:tc>
        <w:tc>
          <w:tcPr>
            <w:tcW w:w="70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全新统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Q</w:t>
            </w:r>
            <w:r>
              <w:rPr>
                <w:rFonts w:hint="eastAsia" w:ascii="仿宋" w:hAnsi="仿宋" w:eastAsia="仿宋" w:cs="仿宋"/>
                <w:snapToGrid w:val="0"/>
                <w:kern w:val="0"/>
                <w:sz w:val="21"/>
                <w:szCs w:val="21"/>
                <w:vertAlign w:val="subscript"/>
              </w:rPr>
              <w:t>4</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竹根镇、冠英镇、牛华镇、西坝镇、金粟镇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90.2</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19.38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restar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中</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生</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界</w:t>
            </w:r>
          </w:p>
        </w:tc>
        <w:tc>
          <w:tcPr>
            <w:tcW w:w="737" w:type="dxa"/>
            <w:vMerge w:val="restar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侏</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罗</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系</w:t>
            </w:r>
          </w:p>
        </w:tc>
        <w:tc>
          <w:tcPr>
            <w:tcW w:w="707" w:type="dxa"/>
            <w:vMerge w:val="restar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上统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蓬莱镇组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3</w:t>
            </w:r>
            <w:r>
              <w:rPr>
                <w:rFonts w:hint="eastAsia" w:ascii="仿宋" w:hAnsi="仿宋" w:eastAsia="仿宋" w:cs="仿宋"/>
                <w:i/>
                <w:iCs/>
                <w:snapToGrid w:val="0"/>
                <w:kern w:val="0"/>
                <w:sz w:val="21"/>
                <w:szCs w:val="21"/>
              </w:rPr>
              <w:t>p</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蔡金镇、牛华镇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5.59</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0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遂宁组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3</w:t>
            </w:r>
            <w:r>
              <w:rPr>
                <w:rFonts w:hint="eastAsia" w:ascii="仿宋" w:hAnsi="仿宋" w:eastAsia="仿宋" w:cs="仿宋"/>
                <w:i/>
                <w:iCs/>
                <w:snapToGrid w:val="0"/>
                <w:kern w:val="0"/>
                <w:sz w:val="21"/>
                <w:szCs w:val="21"/>
              </w:rPr>
              <w:t>sn</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冠英镇、牛华镇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28.23</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6.06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07" w:type="dxa"/>
            <w:vMerge w:val="restar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中统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上沙溪庙组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2</w:t>
            </w:r>
            <w:r>
              <w:rPr>
                <w:rFonts w:hint="eastAsia" w:ascii="仿宋" w:hAnsi="仿宋" w:eastAsia="仿宋" w:cs="仿宋"/>
                <w:i/>
                <w:iCs/>
                <w:snapToGrid w:val="0"/>
                <w:kern w:val="0"/>
                <w:sz w:val="21"/>
                <w:szCs w:val="21"/>
              </w:rPr>
              <w:t>ss</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金粟镇、蔡金镇、冠英镇、牛华镇、金山镇、西坝镇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150.217</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32.27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0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下沙溪庙组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2</w:t>
            </w:r>
            <w:r>
              <w:rPr>
                <w:rFonts w:hint="eastAsia" w:ascii="仿宋" w:hAnsi="仿宋" w:eastAsia="仿宋" w:cs="仿宋"/>
                <w:i/>
                <w:iCs/>
                <w:snapToGrid w:val="0"/>
                <w:kern w:val="0"/>
                <w:sz w:val="21"/>
                <w:szCs w:val="21"/>
              </w:rPr>
              <w:t>xs</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竹根镇、金山镇、石磷镇、西坝镇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50.05</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10.75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0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中下统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自流井组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1-2</w:t>
            </w:r>
            <w:r>
              <w:rPr>
                <w:rFonts w:hint="eastAsia" w:ascii="仿宋" w:hAnsi="仿宋" w:eastAsia="仿宋" w:cs="仿宋"/>
                <w:i/>
                <w:iCs/>
                <w:snapToGrid w:val="0"/>
                <w:kern w:val="0"/>
                <w:sz w:val="21"/>
                <w:szCs w:val="21"/>
              </w:rPr>
              <w:t>z</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西坝镇、石磷镇、金粟镇、金山镇、竹根镇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62.50</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13.43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三叠系</w:t>
            </w:r>
          </w:p>
        </w:tc>
        <w:tc>
          <w:tcPr>
            <w:tcW w:w="70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上统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须家河组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T</w:t>
            </w:r>
            <w:r>
              <w:rPr>
                <w:rFonts w:hint="eastAsia" w:ascii="仿宋" w:hAnsi="仿宋" w:eastAsia="仿宋" w:cs="仿宋"/>
                <w:snapToGrid w:val="0"/>
                <w:kern w:val="0"/>
                <w:sz w:val="21"/>
                <w:szCs w:val="21"/>
                <w:vertAlign w:val="subscript"/>
              </w:rPr>
              <w:t>3</w:t>
            </w:r>
            <w:r>
              <w:rPr>
                <w:rFonts w:hint="eastAsia" w:ascii="仿宋" w:hAnsi="仿宋" w:eastAsia="仿宋" w:cs="仿宋"/>
                <w:i/>
                <w:iCs/>
                <w:snapToGrid w:val="0"/>
                <w:kern w:val="0"/>
                <w:sz w:val="21"/>
                <w:szCs w:val="21"/>
              </w:rPr>
              <w:t>xj</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西坝镇、石磷镇、金粟镇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78.74</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16.91</w:t>
            </w:r>
          </w:p>
        </w:tc>
      </w:tr>
      <w:bookmarkEnd w:id="178"/>
    </w:tbl>
    <w:p>
      <w:pPr>
        <w:pStyle w:val="6"/>
        <w:snapToGrid w:val="0"/>
        <w:spacing w:beforeLines="0" w:afterLines="0"/>
        <w:ind w:firstLine="562" w:firstLineChars="200"/>
        <w:rPr>
          <w:rFonts w:cs="仿宋"/>
          <w:szCs w:val="28"/>
        </w:rPr>
      </w:pPr>
      <w:bookmarkStart w:id="179" w:name="_Toc124577701"/>
      <w:bookmarkStart w:id="180" w:name="_Toc143011764"/>
      <w:bookmarkStart w:id="181" w:name="_Toc124582950"/>
      <w:bookmarkStart w:id="182" w:name="_Toc125523879"/>
      <w:bookmarkStart w:id="183" w:name="_Toc124578076"/>
      <w:bookmarkStart w:id="184" w:name="_Toc125522787"/>
      <w:bookmarkStart w:id="185" w:name="_Toc128902808"/>
      <w:bookmarkStart w:id="186" w:name="_Toc125523434"/>
      <w:bookmarkStart w:id="187" w:name="_Toc124582112"/>
      <w:bookmarkStart w:id="188" w:name="_Toc138319872"/>
      <w:bookmarkStart w:id="189" w:name="_Toc125523650"/>
      <w:bookmarkStart w:id="190" w:name="_Toc125725812"/>
      <w:bookmarkStart w:id="191" w:name="_Toc143008164"/>
      <w:bookmarkStart w:id="192" w:name="_Toc124651273"/>
      <w:bookmarkStart w:id="193" w:name="_Toc124582893"/>
      <w:bookmarkStart w:id="194" w:name="_Toc125644155"/>
      <w:bookmarkStart w:id="195" w:name="_Toc124579052"/>
      <w:bookmarkStart w:id="196" w:name="_Toc468260284"/>
      <w:bookmarkStart w:id="197" w:name="_Toc469046099"/>
      <w:bookmarkStart w:id="198" w:name="_Toc468221666"/>
      <w:bookmarkStart w:id="199" w:name="_Toc32663"/>
      <w:bookmarkStart w:id="200" w:name="_Toc18565"/>
      <w:bookmarkStart w:id="201" w:name="_Toc468259773"/>
      <w:bookmarkStart w:id="202" w:name="_Toc6867"/>
      <w:bookmarkStart w:id="203" w:name="_Toc468259635"/>
      <w:r>
        <w:rPr>
          <w:rFonts w:hint="eastAsia" w:cs="仿宋"/>
          <w:szCs w:val="28"/>
        </w:rPr>
        <w:t>三、地质构造</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Fonts w:hint="eastAsia" w:cs="仿宋"/>
          <w:szCs w:val="28"/>
        </w:rPr>
        <w:t>及地震</w:t>
      </w:r>
      <w:bookmarkEnd w:id="196"/>
      <w:bookmarkEnd w:id="197"/>
      <w:bookmarkEnd w:id="198"/>
      <w:bookmarkEnd w:id="199"/>
      <w:bookmarkEnd w:id="200"/>
      <w:bookmarkEnd w:id="201"/>
      <w:bookmarkEnd w:id="202"/>
      <w:bookmarkEnd w:id="203"/>
    </w:p>
    <w:p>
      <w:pPr>
        <w:widowControl/>
        <w:snapToGrid w:val="0"/>
        <w:ind w:firstLine="560"/>
        <w:jc w:val="left"/>
        <w:rPr>
          <w:rFonts w:ascii="仿宋" w:hAnsi="仿宋" w:eastAsia="仿宋" w:cs="仿宋"/>
          <w:sz w:val="28"/>
          <w:szCs w:val="28"/>
        </w:rPr>
      </w:pPr>
      <w:bookmarkStart w:id="204" w:name="_Toc468221667"/>
      <w:bookmarkStart w:id="205" w:name="_Toc468259774"/>
      <w:bookmarkStart w:id="206" w:name="_Toc468259636"/>
      <w:r>
        <w:rPr>
          <w:rFonts w:hint="eastAsia" w:ascii="仿宋" w:hAnsi="仿宋" w:eastAsia="仿宋" w:cs="仿宋"/>
          <w:sz w:val="28"/>
          <w:szCs w:val="28"/>
        </w:rPr>
        <w:t>1．地质构造</w:t>
      </w:r>
      <w:bookmarkEnd w:id="204"/>
      <w:bookmarkEnd w:id="205"/>
      <w:bookmarkEnd w:id="206"/>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五通桥区在大地构造上属杨子准地台、四川台坳之川西台陷构造单元，在漫长的地质发展中经历了多次构造运动，大约2亿年前的印支构造运动，使地壳抬升，结束了海侵历史，进入陆相河流湖盆相沉积，形成了广布于五通桥区的中生界三叠系、侏罗系和新生界第四系地层。构造图见图2-7。</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（1）褶皱</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五通桥区境内的褶皱为泉水场背斜的延伸部分，即老龙坝背斜，其西起山王庙，向东经老龙坝至四方碑附近与癞子山背斜成低缓鞍状相接，轴长约12公里，核部出露地层为三叠系须家河组地层，轴线倾伏角约3°，向东弯曲呈弧形。老龙坝背斜的两翼倾角较缓，北西翼倾角较缓为4°～7°，南东翼倾角一般小于10°。</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A、周家沟断层</w:t>
      </w:r>
    </w:p>
    <w:p>
      <w:pPr>
        <w:snapToGrid w:val="0"/>
        <w:ind w:firstLine="560"/>
        <w:jc w:val="left"/>
        <w:rPr>
          <w:rFonts w:ascii="仿宋" w:hAnsi="仿宋" w:eastAsia="仿宋" w:cs="仿宋"/>
          <w:sz w:val="28"/>
          <w:szCs w:val="28"/>
        </w:rPr>
      </w:pPr>
      <w:r>
        <w:rPr>
          <w:rFonts w:hint="eastAsia" w:ascii="仿宋" w:hAnsi="仿宋" w:eastAsia="仿宋" w:cs="仿宋"/>
          <w:sz w:val="28"/>
          <w:szCs w:val="28"/>
        </w:rPr>
        <w:t>位于区境内南东角刘家山附近，走向北东65°，从南东端的天林寺附近经刘家山至北东端的倒拐出境，在区境内全长1.6公里，该断层断面倾向南东，倾角25°～35°，南东盘下、中侏罗系自流井组往北西逆冲于北西盘下沙溪庙组之上，垂直断距47～67米，为一低角度逆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B、双土地断层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位于区境内东南角双土地附近，走向北东52°，从南东端的五一村经双土地至北东端的夏家岩，全长1.65公里，该断层断面倾向南东，倾角50°，为逆冲断层。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C、天宫山断层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位于区境内中部天宫山附近，走向北东16°，从南端的石鼓山经小桥沟至北端的大山沟，全长2.4公里，该断层断面倾向东，为正断层。</w:t>
      </w:r>
    </w:p>
    <w:tbl>
      <w:tblPr>
        <w:tblStyle w:val="33"/>
        <w:tblW w:w="0" w:type="auto"/>
        <w:tblInd w:w="0" w:type="dxa"/>
        <w:tblLayout w:type="autofit"/>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9286" w:type="dxa"/>
          </w:tcPr>
          <w:p>
            <w:pPr>
              <w:snapToGrid w:val="0"/>
              <w:spacing w:line="240" w:lineRule="auto"/>
              <w:ind w:firstLine="0" w:firstLineChars="0"/>
              <w:rPr>
                <w:color w:val="0070C0"/>
              </w:rPr>
            </w:pPr>
            <w:r>
              <w:rPr>
                <w:color w:val="0070C0"/>
              </w:rPr>
              <w:drawing>
                <wp:inline distT="0" distB="0" distL="114300" distR="114300">
                  <wp:extent cx="5705475" cy="5548630"/>
                  <wp:effectExtent l="0" t="0" r="0" b="0"/>
                  <wp:docPr id="13" name="图片 10" descr="构造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构造图 拷贝"/>
                          <pic:cNvPicPr>
                            <a:picLocks noChangeAspect="1"/>
                          </pic:cNvPicPr>
                        </pic:nvPicPr>
                        <pic:blipFill>
                          <a:blip r:embed="rId29"/>
                          <a:stretch>
                            <a:fillRect/>
                          </a:stretch>
                        </pic:blipFill>
                        <pic:spPr>
                          <a:xfrm>
                            <a:off x="0" y="0"/>
                            <a:ext cx="5720705" cy="556362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286" w:type="dxa"/>
          </w:tcPr>
          <w:p>
            <w:pPr>
              <w:adjustRightInd w:val="0"/>
              <w:snapToGrid w:val="0"/>
              <w:spacing w:line="240" w:lineRule="auto"/>
              <w:ind w:firstLine="0" w:firstLineChars="0"/>
              <w:jc w:val="center"/>
              <w:rPr>
                <w:b/>
                <w:color w:val="0070C0"/>
                <w:szCs w:val="21"/>
              </w:rPr>
            </w:pPr>
            <w:r>
              <w:rPr>
                <w:rFonts w:hint="eastAsia" w:ascii="仿宋" w:hAnsi="仿宋" w:eastAsia="仿宋" w:cs="仿宋"/>
                <w:b/>
                <w:sz w:val="21"/>
                <w:szCs w:val="21"/>
              </w:rPr>
              <w:t>图2-7  乐山市五通桥区地层及构造纲要图</w:t>
            </w:r>
          </w:p>
        </w:tc>
      </w:tr>
    </w:tbl>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（3）裂隙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由于区境内褶皱平缓，区境内的主要裂隙是构造裂隙、层间裂隙和风化裂隙。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A、构造裂隙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由于区境内比较轻微和稳定的构造变动特点，决定本区境内构造裂隙主要发育于三个小断层地区浅部。其它地方构造裂隙一般不发育。裂隙发育方向随褶皱轴线方向转移，大多以构造线斜交的两组扭裂隙，即“X”裂隙为主，一组为垂直裂隙，一组为倾斜裂隙，裂隙率为0.21-2.8%，有些地层裂隙率可达0.31-13.19%，裂隙密集处，线频率可达3-4条/米，在深部减少，一部分为张裂隙，一组与构造线平行（纵张），另一组与构造线垂直（横张）。裂隙大多垂直于层面，因此裂隙面的倾角多为岩层倾角的余角。裂隙在背斜翼部较发育。厚层砂岩中构造裂隙宽大、稀疏，泥岩、粉砂岩中构造裂隙较密集，但规模小。</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区境内的砂岩中，普遍发育有序次的两组“X”型共轭扭裂隙和第二序次的纵向扭裂隙。根据资料显示，裂隙率为0.04～15.7%，裂隙频率0.33～17条/米。“X”型扭裂和纵向扭裂裂面平直，一般延长十余米，明显张开者其宽度多在2厘米以下，宽者可达5厘米。在须家河组、沙溪庙组等砂岩形成的陡崖区，卸荷裂隙发育区域往往易形成崩塌灾害。</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B、层间裂隙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调查区境内褶皱平缓，北部以倾向北的单斜形态为构造特征，岩层倾角自北而南逐渐变陡，由4～5°逐渐变为6～8°，局部地方达到11～12°。本区地层主要为陆相碎屑岩建造的红层为主。在薄层砂岩、粉砂岩、泥页岩层间裂隙发育，并与构造裂隙、风化裂隙连通。</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在薄层状的泥质粉砂岩、砂岩、钙质泥岩中，层面裂隙较为发育，在与构造裂隙或风化裂隙相互连通后，是地下水补给径流的主要通道。</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C、风化裂隙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区境内风化裂隙分布普遍。主要发育于泥岩、砂质泥岩及薄层细、粉砂岩等软弱岩层中。尤其以薄层、页理发育，含砂质重的泥质岩类最发育。裂隙细小，张开不明显，穿层性差，但数量较多，有时一米之中达10余条以上。发育往往成微细网状不规则，发育深度一般在10～30米。</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区境内地表出露以泥岩、砂岩为主，风化裂隙发育，风化裂隙一般短小，而密集一平方米可达数十以上条，多呈网状，相互交叉，强风化层厚度一般15～30米，其发育深度在不同微地貌上存在差异，如谷坡20～30米，沟底坡脚15～20米。</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弱风化带的深度，一般在20～30米，局部可达50米，这些带内岩石结构完整，只是对原生裂隙，层间裂隙及构造裂隙进一步风化扩大，同时产生一些新的裂隙，本区出露的各岩组内可溶盐被溶滤掉，形成溶孔，溶隙。</w:t>
      </w:r>
    </w:p>
    <w:p>
      <w:pPr>
        <w:widowControl/>
        <w:snapToGrid w:val="0"/>
        <w:ind w:firstLine="560"/>
        <w:jc w:val="left"/>
        <w:rPr>
          <w:rFonts w:ascii="仿宋" w:hAnsi="仿宋" w:eastAsia="仿宋" w:cs="仿宋"/>
          <w:sz w:val="28"/>
          <w:szCs w:val="28"/>
        </w:rPr>
      </w:pPr>
      <w:bookmarkStart w:id="207" w:name="_Toc468221668"/>
      <w:bookmarkStart w:id="208" w:name="_Toc468259637"/>
      <w:bookmarkStart w:id="209" w:name="_Toc468259775"/>
      <w:r>
        <w:rPr>
          <w:rFonts w:hint="eastAsia" w:ascii="仿宋" w:hAnsi="仿宋" w:eastAsia="仿宋" w:cs="仿宋"/>
          <w:sz w:val="28"/>
          <w:szCs w:val="28"/>
        </w:rPr>
        <w:t>2．地震</w:t>
      </w:r>
      <w:bookmarkEnd w:id="207"/>
      <w:bookmarkEnd w:id="208"/>
      <w:bookmarkEnd w:id="209"/>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该区位于中国南北地震带中南段之东侧，与地震活动强烈的龙门山地震带、安宁河地震带毗邻，为其地震波及区；挽近时期，邻近的新桥断层、寿保断层、丰都庙断层等构造均有不同程度的复活，历史上曾发生过多次中等强度的地震，其中新桥断层活动性较强，地震最大震级5级，震中烈度Ⅵ度。</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依据《建筑抗震设计规范》（GB50011-2010（2016年版）），乐山市五通桥区抗震设防烈度为7度，设计基本地震加速度为0.10g，设计地震分组为第三组。</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地震活动频繁主要为断层复活所致，因此以浅源地震为主，地震烈度较大，破坏性严重，为诱发崩塌、滑坡、斜坡失稳等地质灾害的因素之一。</w:t>
      </w:r>
    </w:p>
    <w:p>
      <w:pPr>
        <w:pStyle w:val="6"/>
        <w:snapToGrid w:val="0"/>
        <w:spacing w:beforeLines="0" w:afterLines="0"/>
        <w:ind w:firstLine="562" w:firstLineChars="200"/>
        <w:rPr>
          <w:rFonts w:cs="仿宋"/>
          <w:szCs w:val="28"/>
        </w:rPr>
      </w:pPr>
      <w:bookmarkStart w:id="210" w:name="_Toc468259638"/>
      <w:bookmarkStart w:id="211" w:name="_Toc469046100"/>
      <w:bookmarkStart w:id="212" w:name="_Toc468259776"/>
      <w:bookmarkStart w:id="213" w:name="_Toc468221669"/>
      <w:bookmarkStart w:id="214" w:name="_Toc4353"/>
      <w:bookmarkStart w:id="215" w:name="_Toc468260285"/>
      <w:bookmarkStart w:id="216" w:name="_Toc13389"/>
      <w:bookmarkStart w:id="217" w:name="_Toc229"/>
      <w:bookmarkStart w:id="218" w:name="_Toc138319873"/>
      <w:r>
        <w:rPr>
          <w:rFonts w:hint="eastAsia" w:cs="仿宋"/>
          <w:szCs w:val="28"/>
        </w:rPr>
        <w:t>四、工程地质水文地质条件</w:t>
      </w:r>
      <w:bookmarkEnd w:id="210"/>
      <w:bookmarkEnd w:id="211"/>
      <w:bookmarkEnd w:id="212"/>
      <w:bookmarkEnd w:id="213"/>
      <w:bookmarkEnd w:id="214"/>
      <w:bookmarkEnd w:id="215"/>
      <w:bookmarkEnd w:id="216"/>
      <w:bookmarkEnd w:id="217"/>
    </w:p>
    <w:p>
      <w:pPr>
        <w:widowControl/>
        <w:snapToGrid w:val="0"/>
        <w:ind w:firstLine="560"/>
        <w:jc w:val="left"/>
        <w:rPr>
          <w:rFonts w:ascii="仿宋" w:hAnsi="仿宋" w:eastAsia="仿宋" w:cs="仿宋"/>
          <w:sz w:val="28"/>
          <w:szCs w:val="28"/>
        </w:rPr>
      </w:pPr>
      <w:bookmarkStart w:id="219" w:name="_Toc156382483"/>
      <w:r>
        <w:rPr>
          <w:rFonts w:hint="eastAsia" w:ascii="仿宋" w:hAnsi="仿宋" w:eastAsia="仿宋" w:cs="仿宋"/>
          <w:sz w:val="28"/>
          <w:szCs w:val="28"/>
        </w:rPr>
        <w:t>1、工程地质特征</w:t>
      </w:r>
      <w:bookmarkEnd w:id="219"/>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五通桥区在大地构造上属杨子准地台、四川台坳之川西台陷构造单元，地质构造简单，形态较为单一，构造形迹展布方向以东西向或近南北向为主，褶皱宽缓，断裂不发育，地层产状较为平缓，新构造运动较强烈。由于地质、地形、构造等影响因素，区境内工程地质条件比较复杂，工作区的工程地质性质和区域稳定性较差。</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按岩性成份、结构、坚硬程度，区内地层可划分为3个岩组，岩石强度、结构级别划分标准见表2-6。</w:t>
      </w:r>
    </w:p>
    <w:p>
      <w:pPr>
        <w:adjustRightInd w:val="0"/>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rPr>
        <w:t>表2 -6  岩石强度、结构级别划分标准简表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2366"/>
        <w:gridCol w:w="2150"/>
        <w:gridCol w:w="1898"/>
        <w:gridCol w:w="16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52" w:type="pct"/>
            <w:gridSpan w:val="3"/>
            <w:vMerge w:val="restar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岩   体   强    度</w:t>
            </w:r>
          </w:p>
        </w:tc>
        <w:tc>
          <w:tcPr>
            <w:tcW w:w="1405" w:type="pct"/>
            <w:gridSpan w:val="2"/>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岩   体   结   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52" w:type="pct"/>
            <w:gridSpan w:val="3"/>
            <w:vMerge w:val="continue"/>
            <w:vAlign w:val="center"/>
          </w:tcPr>
          <w:p>
            <w:pPr>
              <w:pStyle w:val="17"/>
              <w:snapToGrid w:val="0"/>
              <w:spacing w:line="240" w:lineRule="auto"/>
              <w:ind w:firstLine="0" w:firstLineChars="0"/>
              <w:jc w:val="center"/>
              <w:rPr>
                <w:rFonts w:ascii="仿宋" w:hAnsi="仿宋" w:eastAsia="仿宋" w:cs="仿宋"/>
                <w:sz w:val="21"/>
                <w:szCs w:val="21"/>
              </w:rPr>
            </w:pP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级   别</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厚度（cm）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级别</w:t>
            </w:r>
          </w:p>
        </w:tc>
        <w:tc>
          <w:tcPr>
            <w:tcW w:w="92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干抗压强度（Mpa）</w:t>
            </w:r>
          </w:p>
        </w:tc>
        <w:tc>
          <w:tcPr>
            <w:tcW w:w="844"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软化系数</w:t>
            </w: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薄层</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软弱</w:t>
            </w:r>
          </w:p>
        </w:tc>
        <w:tc>
          <w:tcPr>
            <w:tcW w:w="92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＜30</w:t>
            </w:r>
          </w:p>
        </w:tc>
        <w:tc>
          <w:tcPr>
            <w:tcW w:w="844"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＜0.6</w:t>
            </w: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中厚层</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半坚硬</w:t>
            </w:r>
          </w:p>
        </w:tc>
        <w:tc>
          <w:tcPr>
            <w:tcW w:w="92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30-80</w:t>
            </w:r>
          </w:p>
        </w:tc>
        <w:tc>
          <w:tcPr>
            <w:tcW w:w="844"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0.6-0.8</w:t>
            </w: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厚层状</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坚硬</w:t>
            </w:r>
          </w:p>
        </w:tc>
        <w:tc>
          <w:tcPr>
            <w:tcW w:w="92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＞80</w:t>
            </w:r>
          </w:p>
        </w:tc>
        <w:tc>
          <w:tcPr>
            <w:tcW w:w="844"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＞0.8</w:t>
            </w: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块状</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＞100</w:t>
            </w:r>
          </w:p>
        </w:tc>
      </w:tr>
    </w:tbl>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1）粘砂砾石松散岩组</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分布于岷江洲坝、河漫滩与沿岸Ⅰ级阶地，为第四系冲洪积堆积的粘、砂、卵、块石组成，厚度6～30m不等，结构松散，多无胶结，孔隙率大，渗透性强，承载力低。</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2）砂、泥、页岩软弱～半坚硬岩组</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主要为侏罗系地层组成，为一套内陆河湖相碎屑岩沉积，砂岩、砾岩强度较高，泥页岩强度较低，因而力学性质差异较大。</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3）煤层互层、砾岩、砂岩、泥岩半坚硬岩组</w:t>
      </w:r>
    </w:p>
    <w:p>
      <w:pPr>
        <w:snapToGrid w:val="0"/>
        <w:ind w:firstLine="560"/>
        <w:jc w:val="left"/>
        <w:rPr>
          <w:rFonts w:ascii="仿宋" w:hAnsi="仿宋" w:eastAsia="仿宋" w:cs="仿宋"/>
          <w:sz w:val="28"/>
          <w:szCs w:val="28"/>
        </w:rPr>
      </w:pPr>
      <w:r>
        <w:rPr>
          <w:rFonts w:hint="eastAsia" w:ascii="仿宋" w:hAnsi="仿宋" w:eastAsia="仿宋" w:cs="仿宋"/>
          <w:sz w:val="28"/>
          <w:szCs w:val="28"/>
        </w:rPr>
        <w:t>主要为三叠系上统须家河组(T</w:t>
      </w:r>
      <w:r>
        <w:rPr>
          <w:rFonts w:hint="eastAsia" w:ascii="仿宋" w:hAnsi="仿宋" w:eastAsia="仿宋" w:cs="仿宋"/>
          <w:sz w:val="28"/>
          <w:szCs w:val="28"/>
          <w:vertAlign w:val="subscript"/>
        </w:rPr>
        <w:t>3</w:t>
      </w:r>
      <w:r>
        <w:rPr>
          <w:rFonts w:hint="eastAsia" w:ascii="仿宋" w:hAnsi="仿宋" w:eastAsia="仿宋" w:cs="仿宋"/>
          <w:sz w:val="28"/>
          <w:szCs w:val="28"/>
        </w:rPr>
        <w:t>xj), 岩性主要为岩屑砂岩、粉砂岩夹页岩、砾岩和煤层互层、砾岩、砂岩、泥岩组成，砂岩、砾岩坚硬，泥岩较软，易风化，因而物理力学性质差异较大。</w:t>
      </w:r>
    </w:p>
    <w:p>
      <w:pPr>
        <w:widowControl/>
        <w:snapToGrid w:val="0"/>
        <w:ind w:firstLine="560"/>
        <w:jc w:val="left"/>
        <w:rPr>
          <w:rFonts w:ascii="仿宋" w:hAnsi="仿宋" w:eastAsia="仿宋" w:cs="仿宋"/>
          <w:sz w:val="28"/>
          <w:szCs w:val="28"/>
        </w:rPr>
      </w:pPr>
      <w:bookmarkStart w:id="220" w:name="_Toc468259640"/>
      <w:bookmarkStart w:id="221" w:name="_Toc468259778"/>
      <w:bookmarkStart w:id="222" w:name="_Toc468221671"/>
      <w:r>
        <w:rPr>
          <w:rFonts w:hint="eastAsia" w:ascii="仿宋" w:hAnsi="仿宋" w:eastAsia="仿宋" w:cs="仿宋"/>
          <w:sz w:val="28"/>
          <w:szCs w:val="28"/>
        </w:rPr>
        <w:t>2、水文地质条件</w:t>
      </w:r>
      <w:bookmarkEnd w:id="220"/>
      <w:bookmarkEnd w:id="221"/>
      <w:bookmarkEnd w:id="222"/>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（1）河流</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岷江南北纵贯全区，为过境大河，境内有茫溪河、磨池河、沫溪河、眠羊溪等河流从丘陵区或低山区流出，分别从东部和西部汇入岷江，含岷江左支汊河---涌斯江在内，区内长于10公里的河流有5条，河流总长为123.17公里，除岷江外，其余河流洪枯水位变幅都大，此外还有数十条小溪沟，流短量小。</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河流对地质灾害体的影响主要表现在对坡脚浸润和侧向侵蚀作用。河流对坡脚浸润使灾害体内地下水浸润曲线上升，浮容重增加，降低阻滑力易使灾害体失稳，同时河流也是地下水补给或排泄通道，越接近河流的地段，地下水径流速度加快，导致动水压力加大，同样易使灾害体失稳，而河流对坡脚的侧向侵蚀使斜坡体（岸坡）前缘产生塌岸，形成新的临空面，导致灾害体失稳；同时，河流切割使得地形坡体坡度过陡，在河流切割深的地区，地质灾害发育密度大。</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（2）地下水</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根据地下水赋存条件，区内地下水主要类型有松散岩类孔隙水、风化带裂隙水和碎屑岩类裂隙水三大类。</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（1）松散岩类孔隙水：</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主要指发育于松散残坡积层中的孔隙水，分布于斜坡地带，残坡积层岩性为粘土夹碎块石、碎块石土，空隙度大，易于大气降雨的入渗。该类地下水主要是接受大气降雨的补给，其排泄方式为沿斜坡向地势较低的地方排泄。其水位不稳定，动态变化大，降雨时段水位迅速上升。大气降雨进入残坡积层内，遇底部基岩（相对隔水层），特别是倾向坡外的基岩层面时，地下水沿基岩面向地势较低处流动，在岩、土接触面形成软化层，易于诱发滑坡灾害。</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（2）风化裂隙水：</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主要指发育于遂宁组（J</w:t>
      </w:r>
      <w:r>
        <w:rPr>
          <w:rFonts w:hint="eastAsia" w:ascii="仿宋" w:hAnsi="仿宋" w:eastAsia="仿宋" w:cs="仿宋"/>
          <w:sz w:val="28"/>
          <w:szCs w:val="28"/>
          <w:vertAlign w:val="subscript"/>
        </w:rPr>
        <w:t>3</w:t>
      </w:r>
      <w:r>
        <w:rPr>
          <w:rFonts w:hint="eastAsia" w:ascii="仿宋" w:hAnsi="仿宋" w:eastAsia="仿宋" w:cs="仿宋"/>
          <w:sz w:val="28"/>
          <w:szCs w:val="28"/>
        </w:rPr>
        <w:t>sn）、蓬莱镇组（J</w:t>
      </w:r>
      <w:r>
        <w:rPr>
          <w:rFonts w:hint="eastAsia" w:ascii="仿宋" w:hAnsi="仿宋" w:eastAsia="仿宋" w:cs="仿宋"/>
          <w:sz w:val="28"/>
          <w:szCs w:val="28"/>
          <w:vertAlign w:val="subscript"/>
        </w:rPr>
        <w:t>3</w:t>
      </w:r>
      <w:r>
        <w:rPr>
          <w:rFonts w:hint="eastAsia" w:ascii="仿宋" w:hAnsi="仿宋" w:eastAsia="仿宋" w:cs="仿宋"/>
          <w:sz w:val="28"/>
          <w:szCs w:val="28"/>
        </w:rPr>
        <w:t>P）、沙溪庙组（J</w:t>
      </w:r>
      <w:r>
        <w:rPr>
          <w:rFonts w:hint="eastAsia" w:ascii="仿宋" w:hAnsi="仿宋" w:eastAsia="仿宋" w:cs="仿宋"/>
          <w:sz w:val="28"/>
          <w:szCs w:val="28"/>
          <w:vertAlign w:val="subscript"/>
        </w:rPr>
        <w:t>2</w:t>
      </w:r>
      <w:r>
        <w:rPr>
          <w:rFonts w:hint="eastAsia" w:ascii="仿宋" w:hAnsi="仿宋" w:eastAsia="仿宋" w:cs="仿宋"/>
          <w:sz w:val="28"/>
          <w:szCs w:val="28"/>
        </w:rPr>
        <w:t>s）的砂岩、泥岩中的风化裂隙水，区内主要分布于区内中部及北部地区，地貌上处于斜坡或参差起伏的深丘地区，岩层产状平缓，岩性为细粒钙质砂岩与泥岩互层，泥岩以网状风化裂隙为主，受风化裂隙的性状控制，含水层多呈网状分布，砂岩以垂直裂隙为主。基岩山区主要以接触型下降泉出露，为受降雨控制，就地补给，就近排泄的自由交替带潜水。暴雨过程中裂隙内充满水体，裂隙水一方面对岩块形成一定的压力，另外，水体沿结构面流动，降低了岩块之间的摩阻力，易于诱发滑坡。</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基岩裂隙较大的开启度为大气降雨的入渗提供了良好的水力通道，其水位动态变化大，降雨过程中裂隙内充满水体，水体对岩块形成较大的静水压力；裂隙水的排泄方式为沿裂隙向地势较低处排泄，其排泄流动过程中对岩块产生一定的动水压力。处于陡峻斜坡上的岩体裂隙内充满水体，当裂隙水压力（动水压力和静水压力）大于岩块的抗剪强度时诱发崩塌。</w:t>
      </w:r>
    </w:p>
    <w:p>
      <w:pPr>
        <w:widowControl/>
        <w:snapToGrid w:val="0"/>
        <w:ind w:firstLine="560"/>
        <w:jc w:val="left"/>
        <w:rPr>
          <w:rFonts w:ascii="仿宋" w:hAnsi="仿宋" w:eastAsia="仿宋" w:cs="仿宋"/>
          <w:sz w:val="28"/>
          <w:szCs w:val="28"/>
        </w:rPr>
      </w:pPr>
      <w:bookmarkStart w:id="223" w:name="_Toc182816189"/>
      <w:bookmarkStart w:id="224" w:name="_Toc182816699"/>
      <w:r>
        <w:rPr>
          <w:rFonts w:hint="eastAsia" w:ascii="仿宋" w:hAnsi="仿宋" w:eastAsia="仿宋" w:cs="仿宋"/>
          <w:sz w:val="28"/>
          <w:szCs w:val="28"/>
        </w:rPr>
        <w:t>（3）碎屑岩类裂隙水</w:t>
      </w:r>
      <w:bookmarkEnd w:id="223"/>
      <w:bookmarkEnd w:id="224"/>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碎屑岩类裂隙水在区内分布广泛，主要是上覆残坡积物和软弱岩层在此类型地下水的作用下：土体中软弱面抗剪强度降低、岩土体容重增加，且风化后形成较厚的松散堆积物，赋存松散岩类孔隙水，并在降雨和人类活动形成的表层水的影响下，导致土体崩塌或沿基岩面的小型土层滑坡。</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因此各类地下水中，在冲洪积、残坡积物中松散层孔隙水及基岩裂隙水作用下，导致岩土体中软弱面抗剪强度降低、岩土体容重增加以及裂隙水压力直接作用于软弱结构面等因素常成为诱发滑坡、崩塌等地质灾害的。</w:t>
      </w:r>
    </w:p>
    <w:bookmarkEnd w:id="218"/>
    <w:p>
      <w:pPr>
        <w:pStyle w:val="6"/>
        <w:snapToGrid w:val="0"/>
        <w:spacing w:beforeLines="0" w:afterLines="0"/>
        <w:ind w:firstLine="562" w:firstLineChars="200"/>
        <w:rPr>
          <w:rFonts w:cs="仿宋"/>
          <w:szCs w:val="28"/>
        </w:rPr>
      </w:pPr>
      <w:bookmarkStart w:id="225" w:name="_Toc143011870"/>
      <w:bookmarkStart w:id="226" w:name="_Toc469046101"/>
      <w:bookmarkStart w:id="227" w:name="_Toc468259779"/>
      <w:bookmarkStart w:id="228" w:name="_Toc143008167"/>
      <w:bookmarkStart w:id="229" w:name="_Toc27159"/>
      <w:bookmarkStart w:id="230" w:name="_Toc468259641"/>
      <w:bookmarkStart w:id="231" w:name="_Toc21420"/>
      <w:bookmarkStart w:id="232" w:name="_Toc195378385"/>
      <w:bookmarkStart w:id="233" w:name="_Toc143011767"/>
      <w:bookmarkStart w:id="234" w:name="_Toc12333"/>
      <w:bookmarkStart w:id="235" w:name="_Toc144182623"/>
      <w:bookmarkStart w:id="236" w:name="_Toc138319875"/>
      <w:r>
        <w:rPr>
          <w:rFonts w:hint="eastAsia" w:cs="仿宋"/>
          <w:szCs w:val="28"/>
        </w:rPr>
        <w:t>五、人类工程活动及影响</w:t>
      </w:r>
      <w:bookmarkEnd w:id="225"/>
      <w:bookmarkEnd w:id="226"/>
      <w:bookmarkEnd w:id="227"/>
      <w:bookmarkEnd w:id="228"/>
      <w:bookmarkEnd w:id="229"/>
      <w:bookmarkEnd w:id="230"/>
      <w:bookmarkEnd w:id="231"/>
      <w:bookmarkEnd w:id="232"/>
      <w:bookmarkEnd w:id="233"/>
      <w:bookmarkEnd w:id="234"/>
      <w:bookmarkEnd w:id="235"/>
      <w:bookmarkEnd w:id="236"/>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五通桥区人类工程活动历史悠久，土地利用程度高。区内农用地比重较大，建设用地比重较小。但是随着经济的发展，工矿用地、旅游用地、交通用地、水利设施用地的规模呈逐年递增趋势，它们对地质环境的后期改造也更为剧烈，引发地质灾害的可能性更大。五通桥区主要人类工程活动包括城镇建设、修筑住房、道路、矿山开采、农耕垦植。与地质灾害相关的人类工程活动主要表现为以下几个方面：</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五通桥区近年来发展交通公路开挖、房地产开发、油气开发等工程建设活动，在工程建设过程中对斜坡开挖，改变了原有斜坡形态，甚至造就了新的边坡。其中一些不合理的边坡开挖破坏斜坡原有的稳定状态，形成滑坡，引发新的地质灾害，造成地质灾害隐患。如G213国道牛华段处，公路开挖形成高边坡，引发局部崩塌掉块就是典型的例证。</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G213国道牛华段位于五通桥区北部，距五通桥城区约8km，地貌上属浅丘地貌，总体地势东高西低相对高差约20m～30m的浅丘，G213国道沿岷江由南至北穿过；出露岩层为侏罗系上统遂宁组（J</w:t>
      </w:r>
      <w:r>
        <w:rPr>
          <w:rFonts w:hint="eastAsia" w:ascii="仿宋" w:hAnsi="仿宋" w:eastAsia="仿宋" w:cs="仿宋"/>
          <w:sz w:val="28"/>
          <w:szCs w:val="28"/>
          <w:vertAlign w:val="subscript"/>
        </w:rPr>
        <w:t>3</w:t>
      </w:r>
      <w:r>
        <w:rPr>
          <w:rFonts w:hint="eastAsia" w:ascii="仿宋" w:hAnsi="仿宋" w:eastAsia="仿宋" w:cs="仿宋"/>
          <w:sz w:val="28"/>
          <w:szCs w:val="28"/>
        </w:rPr>
        <w:t>sn），由紫红色泥岩夹砂岩组成，产状为12°∠5°。公路开挖后形成距高度约20m～30m的高边坡，坡度约70°-85°，宽度约40m～50m，面积约1500 m</w:t>
      </w:r>
      <w:r>
        <w:rPr>
          <w:rFonts w:hint="eastAsia" w:ascii="仿宋" w:hAnsi="仿宋" w:eastAsia="仿宋" w:cs="仿宋"/>
          <w:sz w:val="28"/>
          <w:szCs w:val="28"/>
          <w:vertAlign w:val="superscript"/>
        </w:rPr>
        <w:t>2</w:t>
      </w:r>
      <w:r>
        <w:rPr>
          <w:rFonts w:hint="eastAsia" w:ascii="仿宋" w:hAnsi="仿宋" w:eastAsia="仿宋" w:cs="仿宋"/>
          <w:sz w:val="28"/>
          <w:szCs w:val="28"/>
        </w:rPr>
        <w:t>；未采取护坡措施边坡风化强烈；再加上是砂泥岩互层，泥岩抗风化弱，砂岩风化强，在砂岩层下方往往形成泥岩风化后的岩腔，常有零星掉块威胁过往的车辆及行人。具有不稳定高边坡特征。</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成贵高铁施工：成贵铁路线施工修建便道时，对斜坡体坡脚进行开挖，形成高度约10m～15m的高边坡，坡度约70°～85°，宽度约40m～50m，斜坡体基岩为下沙溪庙组紫红色泥质粉砂岩，其覆盖层为过去的采石场废弃的块石、碎石等堆积物和残坡积物组成，结构松散，抗剪强度较低，易诱发滑坡的发生。</w:t>
      </w:r>
    </w:p>
    <w:p>
      <w:pPr>
        <w:snapToGrid w:val="0"/>
        <w:ind w:firstLine="560"/>
        <w:jc w:val="left"/>
        <w:rPr>
          <w:rFonts w:ascii="仿宋" w:hAnsi="仿宋" w:eastAsia="仿宋" w:cs="仿宋"/>
          <w:sz w:val="28"/>
          <w:szCs w:val="28"/>
        </w:rPr>
      </w:pPr>
      <w:r>
        <w:rPr>
          <w:rFonts w:hint="eastAsia" w:ascii="仿宋" w:hAnsi="仿宋" w:eastAsia="仿宋" w:cs="仿宋"/>
          <w:sz w:val="28"/>
          <w:szCs w:val="28"/>
        </w:rPr>
        <w:t>房屋土建工程：陡坡地段依山建设的民房土建工程，开挖回填整平后形成的人工边坡，多数未进行了支挡，常发生地质灾害；房前屋后排水不、生活用水下渗及建筑加载等，也一定程度影响坡体的稳定。陡坡房屋土建工程对地质灾害易发程度有一定的影响。</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五通桥区主要有煤矿、页岩矿、砂岩矿，主要分布于中低山地区。煤矿一般采用硐采。在矿层浅埋地段开采，在采空塌陷裂隙带影响高度范围内容易出现地面塌陷等地质灾害，废弃矿渣堆弃不合理，也可能产生滑坡、泥石流等地质灾害。页岩矿开采主要为露天开采，露天采场实际上是一种人工大型切坡开挖工程，若开采边坡比不当，易形成高陡人工边坡，对斜坡稳定性的破坏较大，较易产生崩塌、滑坡灾害。</w:t>
      </w:r>
    </w:p>
    <w:p>
      <w:pPr>
        <w:widowControl/>
        <w:snapToGrid w:val="0"/>
        <w:ind w:firstLine="560"/>
        <w:jc w:val="left"/>
        <w:rPr>
          <w:rFonts w:ascii="仿宋" w:hAnsi="仿宋" w:eastAsia="仿宋" w:cs="仿宋"/>
          <w:b/>
          <w:bCs/>
        </w:rPr>
      </w:pPr>
      <w:r>
        <w:rPr>
          <w:rFonts w:hint="eastAsia" w:ascii="仿宋" w:hAnsi="仿宋" w:eastAsia="仿宋" w:cs="仿宋"/>
          <w:sz w:val="28"/>
          <w:szCs w:val="28"/>
        </w:rPr>
        <w:t>3）农耕垦植是区内丘陵、山区分布最广、最普遍、最频繁的一类活动，斜坡地带（大于25°）的农耕垦植使得大量植被破坏，土体裸露，有利于雨水入渗，易引发表层土石体滑坡灾害。</w:t>
      </w:r>
    </w:p>
    <w:p>
      <w:pPr>
        <w:pStyle w:val="4"/>
        <w:snapToGrid w:val="0"/>
        <w:spacing w:before="0" w:after="0" w:line="360" w:lineRule="auto"/>
        <w:rPr>
          <w:rFonts w:cs="仿宋"/>
          <w:b/>
          <w:bCs/>
        </w:rPr>
      </w:pPr>
      <w:bookmarkStart w:id="237" w:name="_Toc990"/>
      <w:bookmarkStart w:id="238" w:name="_Toc5624"/>
      <w:bookmarkStart w:id="239" w:name="_Toc13965"/>
      <w:r>
        <w:rPr>
          <w:rFonts w:hint="eastAsia" w:cs="仿宋"/>
          <w:b/>
          <w:bCs/>
        </w:rPr>
        <w:t>第三章 总体要求</w:t>
      </w:r>
      <w:bookmarkEnd w:id="237"/>
      <w:bookmarkEnd w:id="238"/>
      <w:bookmarkEnd w:id="239"/>
    </w:p>
    <w:p>
      <w:pPr>
        <w:pStyle w:val="5"/>
        <w:snapToGrid w:val="0"/>
        <w:spacing w:beforeLines="0"/>
        <w:jc w:val="center"/>
        <w:rPr>
          <w:rStyle w:val="95"/>
          <w:rFonts w:ascii="仿宋" w:hAnsi="仿宋" w:eastAsia="仿宋" w:cs="仿宋"/>
          <w:sz w:val="30"/>
        </w:rPr>
      </w:pPr>
      <w:bookmarkStart w:id="240" w:name="_Toc358491926"/>
      <w:bookmarkStart w:id="241" w:name="_Toc601"/>
      <w:bookmarkStart w:id="242" w:name="_Toc20090"/>
      <w:bookmarkStart w:id="243" w:name="_Toc9837"/>
      <w:r>
        <w:rPr>
          <w:rStyle w:val="95"/>
          <w:rFonts w:hint="eastAsia" w:ascii="仿宋" w:hAnsi="仿宋" w:eastAsia="仿宋" w:cs="仿宋"/>
          <w:sz w:val="30"/>
        </w:rPr>
        <w:t>第一节 指导思想</w:t>
      </w:r>
      <w:bookmarkEnd w:id="240"/>
      <w:bookmarkEnd w:id="241"/>
      <w:bookmarkEnd w:id="242"/>
      <w:bookmarkEnd w:id="243"/>
    </w:p>
    <w:p>
      <w:pPr>
        <w:snapToGrid w:val="0"/>
        <w:ind w:firstLine="560"/>
        <w:rPr>
          <w:rFonts w:ascii="仿宋" w:hAnsi="仿宋" w:eastAsia="仿宋" w:cs="仿宋"/>
          <w:sz w:val="28"/>
          <w:szCs w:val="28"/>
        </w:rPr>
      </w:pPr>
      <w:r>
        <w:rPr>
          <w:rFonts w:hint="eastAsia" w:ascii="仿宋" w:hAnsi="仿宋" w:eastAsia="仿宋" w:cs="仿宋"/>
          <w:sz w:val="28"/>
          <w:szCs w:val="28"/>
        </w:rPr>
        <w:t>以习近平新时代中国特色社会主义思想为指导，全面贯彻党的十九大和十九届二中、三中、四中、五中、六中全会精神，深入学习领会习近平总书记关于防灾减灾救灾重要论述精神，坚持人民至上、生命至上，坚持新发展理念，围绕建设“平安四川”新要求，以保护人民生命财产安全为主线，以“夯基础、补短板、提质效、增能力、强监管”为基调，全面强化地质灾害风险双控、点面结合全域整治、科技创新能力提升，推动“防”的能力和“治”的标准提升，加快构建与推进四川现代化建设相适应、同高质量发展相匹配的地质灾害防治新格局，提升全社会地质灾害综合防御能力，不断增强人民群众的幸福感、安全感，为推动治蜀兴川再上新台阶、开启全面建设社会主义现代化国家新征程筑牢安全“底板”。</w:t>
      </w:r>
    </w:p>
    <w:p>
      <w:pPr>
        <w:snapToGrid w:val="0"/>
        <w:ind w:firstLine="560"/>
        <w:rPr>
          <w:rFonts w:ascii="仿宋" w:hAnsi="仿宋" w:eastAsia="仿宋" w:cs="仿宋"/>
          <w:sz w:val="28"/>
          <w:szCs w:val="28"/>
        </w:rPr>
      </w:pPr>
      <w:r>
        <w:rPr>
          <w:rFonts w:hint="eastAsia" w:ascii="仿宋" w:hAnsi="仿宋" w:eastAsia="仿宋" w:cs="仿宋"/>
          <w:sz w:val="28"/>
          <w:szCs w:val="28"/>
        </w:rPr>
        <w:t>地灾灾害防治需服务于五通桥区社会经济可持续发展，大力动员社会各方面的力量，完善地质灾害防治管理体制，以突发性致灾地质作用为重点，以人防技防为主要手段，充分调动群众防灾、避灾、躲灾的积极性，有效遏止地质环境恶化，以最大限度地减少人员伤亡、保障社会稳定为主要目的，把地质灾害防治与经济发展紧密结合起来，处理好长远与当前、整体与局部的关系，促进经济效益、社会效益和环境效益的协调统一。</w:t>
      </w:r>
    </w:p>
    <w:p>
      <w:pPr>
        <w:pStyle w:val="5"/>
        <w:snapToGrid w:val="0"/>
        <w:spacing w:beforeLines="0"/>
        <w:jc w:val="center"/>
        <w:rPr>
          <w:rStyle w:val="95"/>
          <w:rFonts w:ascii="仿宋" w:hAnsi="仿宋" w:eastAsia="仿宋" w:cs="仿宋"/>
          <w:sz w:val="30"/>
        </w:rPr>
      </w:pPr>
      <w:bookmarkStart w:id="244" w:name="_Toc27866"/>
      <w:bookmarkStart w:id="245" w:name="_Toc3706"/>
      <w:bookmarkStart w:id="246" w:name="_Toc909"/>
      <w:bookmarkStart w:id="247" w:name="_Toc358491927"/>
      <w:r>
        <w:rPr>
          <w:rStyle w:val="95"/>
          <w:rFonts w:hint="eastAsia" w:ascii="仿宋" w:hAnsi="仿宋" w:eastAsia="仿宋" w:cs="仿宋"/>
          <w:sz w:val="30"/>
        </w:rPr>
        <w:t>第二节 基本原则</w:t>
      </w:r>
      <w:bookmarkEnd w:id="244"/>
      <w:bookmarkEnd w:id="245"/>
      <w:bookmarkEnd w:id="246"/>
      <w:bookmarkEnd w:id="247"/>
    </w:p>
    <w:p>
      <w:pPr>
        <w:pStyle w:val="6"/>
        <w:snapToGrid w:val="0"/>
        <w:spacing w:beforeLines="0" w:afterLines="0"/>
        <w:ind w:firstLine="562" w:firstLineChars="200"/>
        <w:rPr>
          <w:rFonts w:cs="仿宋"/>
          <w:szCs w:val="28"/>
        </w:rPr>
      </w:pPr>
      <w:bookmarkStart w:id="248" w:name="_Toc536"/>
      <w:bookmarkStart w:id="249" w:name="_Toc23636"/>
      <w:r>
        <w:rPr>
          <w:rFonts w:hint="eastAsia" w:cs="仿宋"/>
          <w:szCs w:val="28"/>
        </w:rPr>
        <w:t>一、以人为本、保障安全</w:t>
      </w:r>
      <w:bookmarkEnd w:id="248"/>
      <w:bookmarkEnd w:id="249"/>
    </w:p>
    <w:p>
      <w:pPr>
        <w:snapToGrid w:val="0"/>
        <w:ind w:firstLine="560"/>
        <w:rPr>
          <w:rFonts w:ascii="仿宋" w:hAnsi="仿宋" w:eastAsia="仿宋" w:cs="仿宋"/>
          <w:sz w:val="28"/>
          <w:szCs w:val="28"/>
        </w:rPr>
      </w:pPr>
      <w:r>
        <w:rPr>
          <w:rFonts w:hint="eastAsia" w:ascii="仿宋" w:hAnsi="仿宋" w:eastAsia="仿宋" w:cs="仿宋"/>
          <w:sz w:val="28"/>
          <w:szCs w:val="28"/>
        </w:rPr>
        <w:t>地质灾害防治要把人民生命财产安全放在首位，最大限度减少地质灾害造成的损失。统筹发展和安全，把地质灾害防治作为维护公共安全的重要内容，坚持以人民为中心，将防范化解地质灾害风险作为工作方向，把提升地质灾害防治民生效益作为增进人民福祉的防治重心，最大程度地降低地质灾害威胁。</w:t>
      </w:r>
    </w:p>
    <w:p>
      <w:pPr>
        <w:pStyle w:val="6"/>
        <w:snapToGrid w:val="0"/>
        <w:spacing w:beforeLines="0" w:afterLines="0"/>
        <w:ind w:firstLine="562" w:firstLineChars="200"/>
        <w:rPr>
          <w:rFonts w:cs="仿宋"/>
          <w:szCs w:val="28"/>
        </w:rPr>
      </w:pPr>
      <w:bookmarkStart w:id="250" w:name="_Toc22797"/>
      <w:bookmarkStart w:id="251" w:name="_Toc6568"/>
      <w:r>
        <w:rPr>
          <w:rFonts w:hint="eastAsia" w:cs="仿宋"/>
          <w:szCs w:val="28"/>
        </w:rPr>
        <w:t>二、预防为主、风险管控</w:t>
      </w:r>
      <w:bookmarkEnd w:id="250"/>
      <w:bookmarkEnd w:id="251"/>
    </w:p>
    <w:p>
      <w:pPr>
        <w:snapToGrid w:val="0"/>
        <w:ind w:firstLine="560"/>
        <w:rPr>
          <w:rFonts w:ascii="仿宋" w:hAnsi="仿宋" w:eastAsia="仿宋" w:cs="仿宋"/>
          <w:sz w:val="28"/>
          <w:szCs w:val="28"/>
        </w:rPr>
      </w:pPr>
      <w:r>
        <w:rPr>
          <w:rFonts w:hint="eastAsia" w:ascii="仿宋" w:hAnsi="仿宋" w:eastAsia="仿宋" w:cs="仿宋"/>
          <w:sz w:val="28"/>
          <w:szCs w:val="28"/>
        </w:rPr>
        <w:t>坚持防灾工作重心前移，将地质灾害防治工作从减少灾害损失向减轻灾害风险转变，深入推进地质灾害风险调查评价和人技结合监测预警体系建设，提升地质灾害隐患识别能力，建立完善地质灾害风险双控体系，努力从源头上降低地质灾害风险。</w:t>
      </w:r>
    </w:p>
    <w:p>
      <w:pPr>
        <w:snapToGrid w:val="0"/>
        <w:ind w:firstLine="560"/>
        <w:rPr>
          <w:rFonts w:ascii="仿宋" w:hAnsi="仿宋" w:eastAsia="仿宋" w:cs="仿宋"/>
          <w:sz w:val="28"/>
          <w:szCs w:val="28"/>
        </w:rPr>
      </w:pPr>
      <w:r>
        <w:rPr>
          <w:rFonts w:hint="eastAsia" w:ascii="仿宋" w:hAnsi="仿宋" w:eastAsia="仿宋" w:cs="仿宋"/>
          <w:sz w:val="28"/>
          <w:szCs w:val="28"/>
        </w:rPr>
        <w:t>五通桥区地层主要为砂泥岩互层，崩塌发育，地质灾害点突发性强、隐蔽性高，因而地质灾害的持续防治需要投入巨大的资金、物力和人力资源。因此，要做到减轻五通桥区地质灾害风险，需尽可能识别地质灾害，从灾害点管控转为风险区管控、灾害点管控双控体系，从源头上降低五通桥区地质灾害风险。</w:t>
      </w:r>
    </w:p>
    <w:p>
      <w:pPr>
        <w:pStyle w:val="6"/>
        <w:snapToGrid w:val="0"/>
        <w:spacing w:beforeLines="0" w:afterLines="0"/>
        <w:ind w:firstLine="562" w:firstLineChars="200"/>
        <w:rPr>
          <w:rFonts w:cs="仿宋"/>
          <w:szCs w:val="28"/>
        </w:rPr>
      </w:pPr>
      <w:bookmarkStart w:id="252" w:name="_Toc15281"/>
      <w:bookmarkStart w:id="253" w:name="_Toc4435"/>
      <w:r>
        <w:rPr>
          <w:rFonts w:hint="eastAsia" w:cs="仿宋"/>
          <w:szCs w:val="28"/>
        </w:rPr>
        <w:t>三、整体布局、系统整治的原则</w:t>
      </w:r>
      <w:bookmarkEnd w:id="252"/>
      <w:bookmarkEnd w:id="253"/>
    </w:p>
    <w:p>
      <w:pPr>
        <w:snapToGrid w:val="0"/>
        <w:ind w:firstLine="560"/>
        <w:rPr>
          <w:rFonts w:ascii="仿宋" w:hAnsi="仿宋" w:eastAsia="仿宋" w:cs="仿宋"/>
          <w:sz w:val="28"/>
          <w:szCs w:val="28"/>
        </w:rPr>
      </w:pPr>
      <w:r>
        <w:rPr>
          <w:rFonts w:hint="eastAsia" w:ascii="仿宋" w:hAnsi="仿宋" w:eastAsia="仿宋" w:cs="仿宋"/>
          <w:sz w:val="28"/>
          <w:szCs w:val="28"/>
        </w:rPr>
        <w:t>结合五通桥区地质灾害防治分区，强化五通桥区地质灾害防治规划与国土空间规划的有机衔接，统筹地质灾害防治工作同国土用途管制、生态保护修复综合施策。聚焦地质灾害风险高、险情紧迫、危害大的人口聚居区、重要基础设施及重大民生工程，全域推进地质灾害调查评价、监测预警、综合治理与避险搬迁。</w:t>
      </w:r>
    </w:p>
    <w:p>
      <w:pPr>
        <w:pStyle w:val="6"/>
        <w:snapToGrid w:val="0"/>
        <w:spacing w:beforeLines="0" w:afterLines="0"/>
        <w:ind w:firstLine="562" w:firstLineChars="200"/>
        <w:rPr>
          <w:rFonts w:cs="仿宋"/>
          <w:szCs w:val="28"/>
        </w:rPr>
      </w:pPr>
      <w:bookmarkStart w:id="254" w:name="_Toc28036"/>
      <w:bookmarkStart w:id="255" w:name="_Toc7034"/>
      <w:r>
        <w:rPr>
          <w:rFonts w:hint="eastAsia" w:cs="仿宋"/>
          <w:szCs w:val="28"/>
        </w:rPr>
        <w:t>四、科技防灾、智慧减灾</w:t>
      </w:r>
      <w:bookmarkEnd w:id="254"/>
      <w:bookmarkEnd w:id="255"/>
    </w:p>
    <w:p>
      <w:pPr>
        <w:snapToGrid w:val="0"/>
        <w:ind w:firstLine="560"/>
        <w:rPr>
          <w:rFonts w:ascii="仿宋" w:hAnsi="仿宋" w:eastAsia="仿宋" w:cs="仿宋"/>
          <w:sz w:val="28"/>
          <w:szCs w:val="28"/>
        </w:rPr>
      </w:pPr>
      <w:r>
        <w:rPr>
          <w:rFonts w:hint="eastAsia" w:ascii="仿宋" w:hAnsi="仿宋" w:eastAsia="仿宋" w:cs="仿宋"/>
          <w:sz w:val="28"/>
          <w:szCs w:val="28"/>
        </w:rPr>
        <w:t>加强地质灾害防治基础理论研究，促进新技术新方法应用和推广，加快科技成果转化，大力推进地质灾害人防技防并重防灾模式和智能化升级，努力构建更高质量、更有效率、更为安全的科技防灾体系。</w:t>
      </w:r>
    </w:p>
    <w:p>
      <w:pPr>
        <w:pStyle w:val="6"/>
        <w:snapToGrid w:val="0"/>
        <w:spacing w:beforeLines="0" w:afterLines="0"/>
        <w:ind w:firstLine="562" w:firstLineChars="200"/>
        <w:rPr>
          <w:rFonts w:cs="仿宋"/>
          <w:szCs w:val="28"/>
        </w:rPr>
      </w:pPr>
      <w:bookmarkStart w:id="256" w:name="_Toc28324"/>
      <w:bookmarkStart w:id="257" w:name="_Toc21654"/>
      <w:r>
        <w:rPr>
          <w:rFonts w:hint="eastAsia" w:cs="仿宋"/>
          <w:szCs w:val="28"/>
        </w:rPr>
        <w:t>五、分级负责、群防共治</w:t>
      </w:r>
      <w:bookmarkEnd w:id="256"/>
      <w:bookmarkEnd w:id="257"/>
    </w:p>
    <w:p>
      <w:pPr>
        <w:snapToGrid w:val="0"/>
        <w:ind w:firstLine="560"/>
        <w:rPr>
          <w:rFonts w:ascii="仿宋" w:hAnsi="仿宋" w:eastAsia="仿宋" w:cs="仿宋"/>
          <w:sz w:val="28"/>
          <w:szCs w:val="28"/>
        </w:rPr>
      </w:pPr>
      <w:r>
        <w:rPr>
          <w:rFonts w:hint="eastAsia" w:ascii="仿宋" w:hAnsi="仿宋" w:eastAsia="仿宋" w:cs="仿宋"/>
          <w:sz w:val="28"/>
          <w:szCs w:val="28"/>
        </w:rPr>
        <w:t>坚持属地为主，分责落实。强化各级政府地质灾害防治主体责任，落实相关行业主管部门监管责任和企业直接责任。加大投入机制创新和政策支持力度，增强全社会协同防范应对能力。</w:t>
      </w:r>
    </w:p>
    <w:p>
      <w:pPr>
        <w:pStyle w:val="5"/>
        <w:snapToGrid w:val="0"/>
        <w:spacing w:beforeLines="0"/>
        <w:jc w:val="center"/>
        <w:rPr>
          <w:rStyle w:val="95"/>
          <w:rFonts w:ascii="仿宋" w:hAnsi="仿宋" w:eastAsia="仿宋" w:cs="仿宋"/>
          <w:sz w:val="30"/>
        </w:rPr>
      </w:pPr>
      <w:bookmarkStart w:id="258" w:name="_Toc19548"/>
      <w:bookmarkStart w:id="259" w:name="_Toc4355"/>
      <w:bookmarkStart w:id="260" w:name="_Toc20599"/>
      <w:bookmarkStart w:id="261" w:name="_Toc358491928"/>
      <w:r>
        <w:rPr>
          <w:rStyle w:val="95"/>
          <w:rFonts w:hint="eastAsia" w:ascii="仿宋" w:hAnsi="仿宋" w:eastAsia="仿宋" w:cs="仿宋"/>
          <w:sz w:val="30"/>
        </w:rPr>
        <w:t>第三节 规划目标</w:t>
      </w:r>
      <w:bookmarkEnd w:id="258"/>
      <w:bookmarkEnd w:id="259"/>
      <w:bookmarkEnd w:id="260"/>
      <w:bookmarkEnd w:id="261"/>
    </w:p>
    <w:p>
      <w:pPr>
        <w:pStyle w:val="6"/>
        <w:snapToGrid w:val="0"/>
        <w:spacing w:beforeLines="0" w:afterLines="0"/>
        <w:ind w:firstLine="562" w:firstLineChars="200"/>
        <w:rPr>
          <w:rFonts w:cs="仿宋"/>
          <w:szCs w:val="28"/>
        </w:rPr>
      </w:pPr>
      <w:bookmarkStart w:id="262" w:name="_Toc15357"/>
      <w:bookmarkStart w:id="263" w:name="_Toc15948"/>
      <w:r>
        <w:rPr>
          <w:rFonts w:hint="eastAsia" w:cs="仿宋"/>
          <w:szCs w:val="28"/>
        </w:rPr>
        <w:t>一、总体目标</w:t>
      </w:r>
      <w:bookmarkEnd w:id="262"/>
      <w:bookmarkEnd w:id="263"/>
    </w:p>
    <w:p>
      <w:pPr>
        <w:snapToGrid w:val="0"/>
        <w:ind w:firstLine="560"/>
        <w:rPr>
          <w:rFonts w:ascii="仿宋" w:hAnsi="仿宋" w:eastAsia="仿宋" w:cs="仿宋"/>
          <w:sz w:val="28"/>
          <w:szCs w:val="28"/>
        </w:rPr>
      </w:pPr>
      <w:r>
        <w:rPr>
          <w:rFonts w:hint="eastAsia" w:ascii="仿宋" w:hAnsi="仿宋" w:eastAsia="仿宋" w:cs="仿宋"/>
          <w:sz w:val="28"/>
          <w:szCs w:val="28"/>
        </w:rPr>
        <w:t>到2025年，五通桥区阶段性完成建立以“风险双控、全域整治、科技防灾”为核心的地质灾害综合防治体系，基本掌握本区地质灾害隐患风险底数，威胁城区、集镇等人口聚居区重大隐患风险有效降低，公众生命财产安全切实得到保障，地质灾害对经济社会和生态环境的影响显著减轻。</w:t>
      </w:r>
    </w:p>
    <w:p>
      <w:pPr>
        <w:pStyle w:val="6"/>
        <w:snapToGrid w:val="0"/>
        <w:spacing w:beforeLines="0" w:afterLines="0"/>
        <w:ind w:firstLine="562" w:firstLineChars="200"/>
        <w:rPr>
          <w:rFonts w:cs="仿宋"/>
          <w:szCs w:val="28"/>
        </w:rPr>
      </w:pPr>
      <w:bookmarkStart w:id="264" w:name="_Toc5052"/>
      <w:bookmarkStart w:id="265" w:name="_Toc31785"/>
      <w:r>
        <w:rPr>
          <w:rFonts w:hint="eastAsia" w:cs="仿宋"/>
          <w:szCs w:val="28"/>
        </w:rPr>
        <w:t>二、具体目标</w:t>
      </w:r>
      <w:bookmarkEnd w:id="264"/>
      <w:bookmarkEnd w:id="265"/>
    </w:p>
    <w:p>
      <w:pPr>
        <w:pStyle w:val="7"/>
        <w:snapToGrid w:val="0"/>
        <w:spacing w:beforeLines="0" w:afterLines="0"/>
        <w:ind w:firstLine="560"/>
        <w:rPr>
          <w:rFonts w:ascii="仿宋" w:hAnsi="仿宋" w:eastAsia="仿宋" w:cs="仿宋"/>
          <w:b w:val="0"/>
          <w:bCs w:val="0"/>
        </w:rPr>
      </w:pPr>
      <w:r>
        <w:rPr>
          <w:rFonts w:hint="eastAsia" w:ascii="仿宋" w:hAnsi="仿宋" w:eastAsia="仿宋" w:cs="仿宋"/>
          <w:b w:val="0"/>
          <w:bCs w:val="0"/>
        </w:rPr>
        <w:t>1、风险防控持续推进</w:t>
      </w:r>
    </w:p>
    <w:p>
      <w:pPr>
        <w:snapToGrid w:val="0"/>
        <w:ind w:firstLine="560"/>
        <w:rPr>
          <w:rFonts w:ascii="仿宋" w:hAnsi="仿宋" w:eastAsia="仿宋" w:cs="仿宋"/>
          <w:sz w:val="28"/>
          <w:szCs w:val="28"/>
        </w:rPr>
      </w:pPr>
      <w:r>
        <w:rPr>
          <w:rFonts w:hint="eastAsia" w:ascii="仿宋" w:hAnsi="仿宋" w:eastAsia="仿宋" w:cs="仿宋"/>
          <w:sz w:val="28"/>
          <w:szCs w:val="28"/>
        </w:rPr>
        <w:t>完成五通桥区地质灾害风险调查评价与区划，结合风险调查及巡排查初步摸清五通桥区农村切坡建房地质灾害隐患、中高易发区有人居住地斜坡隐患风险底数，根据省厅部署实施部分城区、重点集镇1:10000 地质灾害风险调查，有效提升隐患发现识别能力和风险管控水平。</w:t>
      </w:r>
    </w:p>
    <w:p>
      <w:pPr>
        <w:pStyle w:val="7"/>
        <w:snapToGrid w:val="0"/>
        <w:spacing w:beforeLines="0" w:afterLines="0"/>
        <w:ind w:firstLine="560"/>
        <w:rPr>
          <w:rFonts w:ascii="仿宋" w:hAnsi="仿宋" w:eastAsia="仿宋" w:cs="仿宋"/>
          <w:b w:val="0"/>
          <w:bCs w:val="0"/>
        </w:rPr>
      </w:pPr>
      <w:r>
        <w:rPr>
          <w:rFonts w:hint="eastAsia" w:ascii="仿宋" w:hAnsi="仿宋" w:eastAsia="仿宋" w:cs="仿宋"/>
          <w:b w:val="0"/>
          <w:bCs w:val="0"/>
        </w:rPr>
        <w:t>2、监测预警更加精细</w:t>
      </w:r>
    </w:p>
    <w:p>
      <w:pPr>
        <w:snapToGrid w:val="0"/>
        <w:ind w:firstLine="560"/>
        <w:rPr>
          <w:rFonts w:ascii="仿宋" w:hAnsi="仿宋" w:eastAsia="仿宋" w:cs="仿宋"/>
          <w:sz w:val="28"/>
          <w:szCs w:val="28"/>
        </w:rPr>
      </w:pPr>
      <w:r>
        <w:rPr>
          <w:rFonts w:hint="eastAsia" w:ascii="仿宋" w:hAnsi="仿宋" w:eastAsia="仿宋" w:cs="仿宋"/>
          <w:sz w:val="28"/>
          <w:szCs w:val="28"/>
        </w:rPr>
        <w:t>分年度完成地质灾害群测群防任务，实现隐患点专职监测全覆盖。逐步建立群专结合监测预警体系，人防+技防监测预警水平取得明显提升。地质灾害气象风险预警预报更加准确有效。</w:t>
      </w:r>
    </w:p>
    <w:p>
      <w:pPr>
        <w:pStyle w:val="7"/>
        <w:snapToGrid w:val="0"/>
        <w:spacing w:beforeLines="0" w:afterLines="0"/>
        <w:ind w:firstLine="560"/>
        <w:rPr>
          <w:rFonts w:ascii="仿宋" w:hAnsi="仿宋" w:eastAsia="仿宋" w:cs="仿宋"/>
          <w:b w:val="0"/>
          <w:bCs w:val="0"/>
        </w:rPr>
      </w:pPr>
      <w:r>
        <w:rPr>
          <w:rFonts w:hint="eastAsia" w:ascii="仿宋" w:hAnsi="仿宋" w:eastAsia="仿宋" w:cs="仿宋"/>
          <w:b w:val="0"/>
          <w:bCs w:val="0"/>
        </w:rPr>
        <w:t>3、隐患风险有效降低</w:t>
      </w:r>
    </w:p>
    <w:p>
      <w:pPr>
        <w:snapToGrid w:val="0"/>
        <w:ind w:firstLine="560"/>
        <w:rPr>
          <w:rFonts w:ascii="仿宋" w:hAnsi="仿宋" w:eastAsia="仿宋" w:cs="仿宋"/>
          <w:sz w:val="28"/>
          <w:szCs w:val="28"/>
        </w:rPr>
      </w:pPr>
      <w:r>
        <w:rPr>
          <w:rFonts w:hint="eastAsia" w:ascii="仿宋" w:hAnsi="仿宋" w:eastAsia="仿宋" w:cs="仿宋"/>
          <w:sz w:val="28"/>
          <w:szCs w:val="28"/>
        </w:rPr>
        <w:t>完成受地质灾害威胁城区、重点集镇及其他人口聚居区综合整治，“以搬为主，搬治结合”分类分级实施险情紧迫地质灾害隐患避险搬迁与治理，积极推进治理工程后期管理和维护。2021～2023年完成“五通桥区地质灾害全域综合整治三年行动计划”，实现消除地质灾害隐患点33处。2024～2025年消除地质灾害隐患点3处。</w:t>
      </w:r>
    </w:p>
    <w:p>
      <w:pPr>
        <w:pStyle w:val="7"/>
        <w:snapToGrid w:val="0"/>
        <w:spacing w:beforeLines="0" w:afterLines="0"/>
        <w:ind w:firstLine="560"/>
        <w:rPr>
          <w:rFonts w:ascii="仿宋" w:hAnsi="仿宋" w:eastAsia="仿宋" w:cs="仿宋"/>
          <w:b w:val="0"/>
          <w:bCs w:val="0"/>
        </w:rPr>
      </w:pPr>
      <w:r>
        <w:rPr>
          <w:rFonts w:hint="eastAsia" w:ascii="仿宋" w:hAnsi="仿宋" w:eastAsia="仿宋" w:cs="仿宋"/>
          <w:b w:val="0"/>
          <w:bCs w:val="0"/>
        </w:rPr>
        <w:t>4、防治能力不断提升</w:t>
      </w:r>
    </w:p>
    <w:p>
      <w:pPr>
        <w:snapToGrid w:val="0"/>
        <w:ind w:firstLine="560"/>
        <w:rPr>
          <w:rFonts w:ascii="仿宋" w:hAnsi="仿宋" w:eastAsia="仿宋" w:cs="仿宋"/>
          <w:sz w:val="28"/>
          <w:szCs w:val="28"/>
        </w:rPr>
      </w:pPr>
      <w:r>
        <w:rPr>
          <w:rFonts w:hint="eastAsia" w:ascii="仿宋" w:hAnsi="仿宋" w:eastAsia="仿宋" w:cs="仿宋"/>
          <w:sz w:val="28"/>
          <w:szCs w:val="28"/>
        </w:rPr>
        <w:t>依托省级相关平台，持续推进五通桥区地质灾害隐患识别及监测预警技术服务中心建设，科技支撑和信息化保障更加凸显。地质灾害防治人才队伍、物资及装备得到有效充实，地质灾害依法防治更加高效，基层技术支撑和防灾减灾能力稳步提升，地质灾害防治关键技术科研攻关和成果转化取得新进展。</w:t>
      </w:r>
    </w:p>
    <w:bookmarkEnd w:id="26"/>
    <w:bookmarkEnd w:id="27"/>
    <w:bookmarkEnd w:id="28"/>
    <w:bookmarkEnd w:id="29"/>
    <w:bookmarkEnd w:id="30"/>
    <w:p>
      <w:pPr>
        <w:pStyle w:val="4"/>
        <w:snapToGrid w:val="0"/>
        <w:spacing w:before="0" w:after="0" w:line="360" w:lineRule="auto"/>
        <w:rPr>
          <w:rFonts w:cs="仿宋"/>
          <w:b/>
          <w:bCs/>
        </w:rPr>
      </w:pPr>
      <w:bookmarkStart w:id="266" w:name="_Toc5549"/>
      <w:bookmarkStart w:id="267" w:name="_Toc25804"/>
      <w:bookmarkStart w:id="268" w:name="_Toc26939"/>
      <w:bookmarkStart w:id="269" w:name="_Toc330300912"/>
      <w:bookmarkStart w:id="270" w:name="_Toc330300926"/>
      <w:bookmarkStart w:id="271" w:name="_Toc327438272"/>
      <w:bookmarkStart w:id="272" w:name="_Toc322436840"/>
      <w:bookmarkStart w:id="273" w:name="_Toc322436198"/>
      <w:bookmarkStart w:id="274" w:name="_Toc327438355"/>
      <w:r>
        <w:rPr>
          <w:rFonts w:hint="eastAsia" w:cs="仿宋"/>
          <w:b/>
          <w:bCs/>
        </w:rPr>
        <w:t>第四章 地质灾害防治分区</w:t>
      </w:r>
      <w:bookmarkEnd w:id="266"/>
      <w:bookmarkEnd w:id="267"/>
      <w:bookmarkEnd w:id="268"/>
    </w:p>
    <w:bookmarkEnd w:id="269"/>
    <w:p>
      <w:pPr>
        <w:pStyle w:val="5"/>
        <w:snapToGrid w:val="0"/>
        <w:spacing w:beforeLines="0"/>
        <w:jc w:val="center"/>
        <w:rPr>
          <w:rStyle w:val="95"/>
          <w:rFonts w:ascii="仿宋" w:hAnsi="仿宋" w:eastAsia="仿宋" w:cs="仿宋"/>
          <w:sz w:val="30"/>
        </w:rPr>
      </w:pPr>
      <w:bookmarkStart w:id="275" w:name="_Toc32447"/>
      <w:bookmarkStart w:id="276" w:name="_Toc18679"/>
      <w:bookmarkStart w:id="277" w:name="_Toc31422"/>
      <w:r>
        <w:rPr>
          <w:rStyle w:val="95"/>
          <w:rFonts w:hint="eastAsia" w:ascii="仿宋" w:hAnsi="仿宋" w:eastAsia="仿宋" w:cs="仿宋"/>
          <w:sz w:val="30"/>
        </w:rPr>
        <w:t>第一节 地质灾害易发分区</w:t>
      </w:r>
      <w:bookmarkEnd w:id="275"/>
      <w:bookmarkEnd w:id="276"/>
      <w:bookmarkEnd w:id="277"/>
    </w:p>
    <w:p>
      <w:pPr>
        <w:pStyle w:val="6"/>
        <w:snapToGrid w:val="0"/>
        <w:spacing w:beforeLines="0" w:afterLines="0"/>
        <w:ind w:firstLine="562" w:firstLineChars="200"/>
        <w:rPr>
          <w:rFonts w:cs="仿宋"/>
          <w:szCs w:val="28"/>
        </w:rPr>
      </w:pPr>
      <w:bookmarkStart w:id="278" w:name="_Toc197091702"/>
      <w:bookmarkStart w:id="279" w:name="_Toc197265638"/>
      <w:bookmarkStart w:id="280" w:name="_Toc197276317"/>
      <w:bookmarkStart w:id="281" w:name="_Toc174351670"/>
      <w:bookmarkStart w:id="282" w:name="_Toc312944522"/>
      <w:bookmarkStart w:id="283" w:name="_Toc312834553"/>
      <w:bookmarkStart w:id="284" w:name="_Toc14224"/>
      <w:bookmarkStart w:id="285" w:name="_Toc202757380"/>
      <w:bookmarkStart w:id="286" w:name="_Toc197265745"/>
      <w:bookmarkStart w:id="287" w:name="_Toc197267906"/>
      <w:bookmarkStart w:id="288" w:name="_Toc9245"/>
      <w:bookmarkStart w:id="289" w:name="_Toc469046122"/>
      <w:bookmarkStart w:id="290" w:name="_Toc174345624"/>
      <w:r>
        <w:rPr>
          <w:rFonts w:hint="eastAsia" w:cs="仿宋"/>
          <w:szCs w:val="28"/>
        </w:rPr>
        <w:t>一、分区目的</w:t>
      </w:r>
      <w:bookmarkEnd w:id="278"/>
      <w:bookmarkEnd w:id="279"/>
      <w:bookmarkEnd w:id="280"/>
      <w:bookmarkEnd w:id="281"/>
      <w:bookmarkEnd w:id="282"/>
      <w:bookmarkEnd w:id="283"/>
      <w:bookmarkEnd w:id="284"/>
      <w:bookmarkEnd w:id="285"/>
      <w:bookmarkEnd w:id="286"/>
      <w:bookmarkEnd w:id="287"/>
      <w:bookmarkEnd w:id="288"/>
      <w:bookmarkEnd w:id="289"/>
      <w:bookmarkEnd w:id="290"/>
    </w:p>
    <w:p>
      <w:pPr>
        <w:snapToGrid w:val="0"/>
        <w:ind w:firstLine="560"/>
        <w:rPr>
          <w:rFonts w:ascii="仿宋" w:hAnsi="仿宋" w:eastAsia="仿宋" w:cs="仿宋"/>
          <w:sz w:val="28"/>
          <w:szCs w:val="28"/>
        </w:rPr>
      </w:pPr>
      <w:r>
        <w:rPr>
          <w:rFonts w:hint="eastAsia" w:ascii="仿宋" w:hAnsi="仿宋" w:eastAsia="仿宋" w:cs="仿宋"/>
          <w:sz w:val="28"/>
          <w:szCs w:val="28"/>
        </w:rPr>
        <w:t>地质灾害分区的目的在于把五通桥区调查区范围内地质灾害发生的地质环境条件接近，灾害种类基本上一致，易发程度和危害程度相当，防治对策相近的区域划分在一起。把前述各方面不相同的区域划分开，有利于分别对地质灾害发生原因进行综合研究，为制定地质灾害防治规划，地质灾害适时治理提供依据。</w:t>
      </w:r>
    </w:p>
    <w:p>
      <w:pPr>
        <w:snapToGrid w:val="0"/>
        <w:ind w:firstLine="560"/>
        <w:rPr>
          <w:rFonts w:ascii="仿宋" w:hAnsi="仿宋" w:eastAsia="仿宋" w:cs="仿宋"/>
          <w:sz w:val="28"/>
          <w:szCs w:val="28"/>
        </w:rPr>
      </w:pPr>
      <w:r>
        <w:rPr>
          <w:rFonts w:hint="eastAsia" w:ascii="仿宋" w:hAnsi="仿宋" w:eastAsia="仿宋" w:cs="仿宋"/>
          <w:sz w:val="28"/>
          <w:szCs w:val="28"/>
        </w:rPr>
        <w:t>评价一个地区地质灾害的易发性，可以从两个方面进行，（1）这一地区历史上致灾地质作用的发生情况，包括致灾地质作用规模、密度、频次等；（2）这个地区自然条件、地质环境条件、人类工程经济活动状况等。很显然，这种易发性分析，并不是在对区域内斜坡稳定性等进行详细勘查评价的基础上作出的，而是基于类比如根据历史灾害情况进行评价和影响因素与这些地质现象之间并不十分明晰的相关关系而作出的一种宏观评价。从而达到避灾减灾的目的，促进五通桥区社会经济全面发展。</w:t>
      </w:r>
    </w:p>
    <w:p>
      <w:pPr>
        <w:pStyle w:val="6"/>
        <w:snapToGrid w:val="0"/>
        <w:spacing w:beforeLines="0" w:afterLines="0"/>
        <w:ind w:firstLine="562" w:firstLineChars="200"/>
        <w:rPr>
          <w:rFonts w:cs="仿宋"/>
          <w:szCs w:val="28"/>
        </w:rPr>
      </w:pPr>
      <w:bookmarkStart w:id="291" w:name="_Toc312834555"/>
      <w:bookmarkStart w:id="292" w:name="_Toc174351672"/>
      <w:bookmarkStart w:id="293" w:name="_Toc312944524"/>
      <w:bookmarkStart w:id="294" w:name="_Toc5644"/>
      <w:bookmarkStart w:id="295" w:name="_Toc197276319"/>
      <w:bookmarkStart w:id="296" w:name="_Toc469046123"/>
      <w:bookmarkStart w:id="297" w:name="_Toc174345626"/>
      <w:bookmarkStart w:id="298" w:name="_Toc30458"/>
      <w:bookmarkStart w:id="299" w:name="_Toc202757382"/>
      <w:r>
        <w:rPr>
          <w:rFonts w:hint="eastAsia" w:cs="仿宋"/>
          <w:szCs w:val="28"/>
        </w:rPr>
        <w:t>二、分区原则</w:t>
      </w:r>
      <w:bookmarkEnd w:id="291"/>
      <w:bookmarkEnd w:id="292"/>
      <w:bookmarkEnd w:id="293"/>
      <w:bookmarkEnd w:id="294"/>
      <w:bookmarkEnd w:id="295"/>
      <w:bookmarkEnd w:id="296"/>
      <w:bookmarkEnd w:id="297"/>
      <w:bookmarkEnd w:id="298"/>
      <w:bookmarkEnd w:id="299"/>
    </w:p>
    <w:p>
      <w:pPr>
        <w:snapToGrid w:val="0"/>
        <w:ind w:firstLine="560"/>
        <w:rPr>
          <w:rFonts w:ascii="仿宋" w:hAnsi="仿宋" w:eastAsia="仿宋" w:cs="仿宋"/>
          <w:sz w:val="28"/>
          <w:szCs w:val="28"/>
        </w:rPr>
      </w:pPr>
      <w:r>
        <w:rPr>
          <w:rFonts w:hint="eastAsia" w:ascii="仿宋" w:hAnsi="仿宋" w:eastAsia="仿宋" w:cs="仿宋"/>
          <w:sz w:val="28"/>
          <w:szCs w:val="28"/>
        </w:rPr>
        <w:t>地质灾害易发程度分区的原则，是易发程度分区的基础，只有分区原则和致灾因子的正确选择，才能制定可靠的分区方案。为了使易发程度分区基本准确、可靠，又方便对地质灾害进行防治，在分区时应遵循下列各项原则：</w:t>
      </w:r>
    </w:p>
    <w:p>
      <w:pPr>
        <w:snapToGrid w:val="0"/>
        <w:ind w:firstLine="560"/>
        <w:rPr>
          <w:rFonts w:ascii="仿宋" w:hAnsi="仿宋" w:eastAsia="仿宋" w:cs="仿宋"/>
          <w:sz w:val="28"/>
          <w:szCs w:val="28"/>
        </w:rPr>
      </w:pPr>
      <w:r>
        <w:rPr>
          <w:rFonts w:hint="eastAsia" w:ascii="仿宋" w:hAnsi="仿宋" w:eastAsia="仿宋" w:cs="仿宋"/>
          <w:sz w:val="28"/>
          <w:szCs w:val="28"/>
        </w:rPr>
        <w:t>1、自然及地质环境条件差异性原则</w:t>
      </w:r>
    </w:p>
    <w:p>
      <w:pPr>
        <w:snapToGrid w:val="0"/>
        <w:ind w:firstLine="560"/>
        <w:rPr>
          <w:rFonts w:ascii="仿宋" w:hAnsi="仿宋" w:eastAsia="仿宋" w:cs="仿宋"/>
          <w:sz w:val="28"/>
          <w:szCs w:val="28"/>
        </w:rPr>
      </w:pPr>
      <w:r>
        <w:rPr>
          <w:rFonts w:hint="eastAsia" w:ascii="仿宋" w:hAnsi="仿宋" w:eastAsia="仿宋" w:cs="仿宋"/>
          <w:sz w:val="28"/>
          <w:szCs w:val="28"/>
        </w:rPr>
        <w:t>地质灾害的发生与其所处的地形地貌、气象条件、地层岩性、地质构造、新构造运动及等自然及地质背景条件密切相关。充分研究不同区域控制地质灾害发生、分布及危害的自然及地质环境条件差异，在进行地质灾害易发程度分区时，将发生条件相同或相近的区域划入同一个区，条件不同的划入不同的区。</w:t>
      </w:r>
    </w:p>
    <w:p>
      <w:pPr>
        <w:snapToGrid w:val="0"/>
        <w:ind w:firstLine="560"/>
        <w:rPr>
          <w:rFonts w:ascii="仿宋" w:hAnsi="仿宋" w:eastAsia="仿宋" w:cs="仿宋"/>
          <w:sz w:val="28"/>
          <w:szCs w:val="28"/>
        </w:rPr>
      </w:pPr>
      <w:r>
        <w:rPr>
          <w:rFonts w:hint="eastAsia" w:ascii="仿宋" w:hAnsi="仿宋" w:eastAsia="仿宋" w:cs="仿宋"/>
          <w:sz w:val="28"/>
          <w:szCs w:val="28"/>
        </w:rPr>
        <w:t>2、地质灾害形成主导因素原则</w:t>
      </w:r>
    </w:p>
    <w:p>
      <w:pPr>
        <w:snapToGrid w:val="0"/>
        <w:ind w:firstLine="560"/>
        <w:rPr>
          <w:rFonts w:ascii="仿宋" w:hAnsi="仿宋" w:eastAsia="仿宋" w:cs="仿宋"/>
          <w:sz w:val="28"/>
          <w:szCs w:val="28"/>
        </w:rPr>
      </w:pPr>
      <w:r>
        <w:rPr>
          <w:rFonts w:hint="eastAsia" w:ascii="仿宋" w:hAnsi="仿宋" w:eastAsia="仿宋" w:cs="仿宋"/>
          <w:sz w:val="28"/>
          <w:szCs w:val="28"/>
        </w:rPr>
        <w:t>在进行地质灾害易发程度分区时，充分考虑地质灾害的现状分布特征，因为地质灾害的现状分布是地质灾害易发程度的直接反应。同一级次的易发程度区域，其地质灾害的现状分布密度大致相近。</w:t>
      </w:r>
    </w:p>
    <w:p>
      <w:pPr>
        <w:snapToGrid w:val="0"/>
        <w:ind w:firstLine="560"/>
        <w:rPr>
          <w:rFonts w:ascii="仿宋" w:hAnsi="仿宋" w:eastAsia="仿宋" w:cs="仿宋"/>
          <w:sz w:val="28"/>
          <w:szCs w:val="28"/>
        </w:rPr>
      </w:pPr>
      <w:r>
        <w:rPr>
          <w:rFonts w:hint="eastAsia" w:ascii="仿宋" w:hAnsi="仿宋" w:eastAsia="仿宋" w:cs="仿宋"/>
          <w:sz w:val="28"/>
          <w:szCs w:val="28"/>
        </w:rPr>
        <w:t>3、综合分析原则</w:t>
      </w:r>
    </w:p>
    <w:p>
      <w:pPr>
        <w:snapToGrid w:val="0"/>
        <w:ind w:firstLine="560"/>
        <w:rPr>
          <w:rFonts w:ascii="仿宋" w:hAnsi="仿宋" w:eastAsia="仿宋" w:cs="仿宋"/>
          <w:sz w:val="28"/>
          <w:szCs w:val="28"/>
        </w:rPr>
      </w:pPr>
      <w:r>
        <w:rPr>
          <w:rFonts w:hint="eastAsia" w:ascii="仿宋" w:hAnsi="仿宋" w:eastAsia="仿宋" w:cs="仿宋"/>
          <w:sz w:val="28"/>
          <w:szCs w:val="28"/>
        </w:rPr>
        <w:t>影响地质灾害发生和危害的因素很多，每一个地质灾害点都是多种因素共同作用的结果，不同的地质环境条件下产生不同类型的地质灾害；同一地区可产生不同类型的地质灾害；同一类型地质灾害的规模大小、危害程度也有所不同；诱发因素不同，地质灾害的规模大小、危害程度也不尽相同。因此，采取综合分析原则，就是区别形成灾害的各因素中相似性和差别，在此基础上确定相关联的因子作为分区指标因子。</w:t>
      </w:r>
    </w:p>
    <w:p>
      <w:pPr>
        <w:snapToGrid w:val="0"/>
        <w:ind w:firstLine="560"/>
        <w:rPr>
          <w:rFonts w:ascii="仿宋" w:hAnsi="仿宋" w:eastAsia="仿宋" w:cs="仿宋"/>
          <w:sz w:val="28"/>
          <w:szCs w:val="28"/>
        </w:rPr>
      </w:pPr>
      <w:r>
        <w:rPr>
          <w:rFonts w:hint="eastAsia" w:ascii="仿宋" w:hAnsi="仿宋" w:eastAsia="仿宋" w:cs="仿宋"/>
          <w:sz w:val="28"/>
          <w:szCs w:val="28"/>
        </w:rPr>
        <w:t>4、“以人为本”的原则</w:t>
      </w:r>
    </w:p>
    <w:p>
      <w:pPr>
        <w:snapToGrid w:val="0"/>
        <w:ind w:firstLine="560"/>
        <w:rPr>
          <w:rFonts w:ascii="仿宋" w:hAnsi="仿宋" w:eastAsia="仿宋" w:cs="仿宋"/>
          <w:sz w:val="28"/>
          <w:szCs w:val="28"/>
        </w:rPr>
      </w:pPr>
      <w:r>
        <w:rPr>
          <w:rFonts w:hint="eastAsia" w:ascii="仿宋" w:hAnsi="仿宋" w:eastAsia="仿宋" w:cs="仿宋"/>
          <w:sz w:val="28"/>
          <w:szCs w:val="28"/>
        </w:rPr>
        <w:t>地质灾害调查区划应突出“以人为本”的原则，分区也要突出地质灾害与人类生产生活的密切程度，即地质灾害的发育程度与人口分布密度的关系，人类工程活动与地质灾害的关系。还要考虑到地质灾害对人类生产生活中存在的潜在危害性，准确预测地质灾害的危险性，减少损失，保证人民群众的生产经营活动安全，更好地为社会发展和经济建设服务。</w:t>
      </w:r>
    </w:p>
    <w:p>
      <w:pPr>
        <w:snapToGrid w:val="0"/>
        <w:ind w:firstLine="560"/>
        <w:rPr>
          <w:rFonts w:ascii="仿宋" w:hAnsi="仿宋" w:eastAsia="仿宋" w:cs="仿宋"/>
          <w:sz w:val="28"/>
          <w:szCs w:val="28"/>
        </w:rPr>
      </w:pPr>
      <w:r>
        <w:rPr>
          <w:rFonts w:hint="eastAsia" w:ascii="仿宋" w:hAnsi="仿宋" w:eastAsia="仿宋" w:cs="仿宋"/>
          <w:sz w:val="28"/>
          <w:szCs w:val="28"/>
        </w:rPr>
        <w:t>5、为社会经济发展服务的原则</w:t>
      </w:r>
    </w:p>
    <w:p>
      <w:pPr>
        <w:snapToGrid w:val="0"/>
        <w:ind w:firstLine="560"/>
        <w:rPr>
          <w:rFonts w:ascii="仿宋" w:hAnsi="仿宋" w:eastAsia="仿宋" w:cs="仿宋"/>
          <w:sz w:val="28"/>
          <w:szCs w:val="28"/>
        </w:rPr>
      </w:pPr>
      <w:r>
        <w:rPr>
          <w:rFonts w:hint="eastAsia" w:ascii="仿宋" w:hAnsi="仿宋" w:eastAsia="仿宋" w:cs="仿宋"/>
          <w:sz w:val="28"/>
          <w:szCs w:val="28"/>
        </w:rPr>
        <w:t>按地质灾害危险性区划的目的任务和应用性，既要考虑地质灾害已形成的灾害效应，又要考虑地质灾害存在的潜在危害和威胁隐患，尤其是在今后经济发展建设中存在的潜在隐患对经济建设发展的影响，为更好地服务于经济建设，地质灾害的区划须与本地经济建设发展相一致。</w:t>
      </w:r>
    </w:p>
    <w:p>
      <w:pPr>
        <w:snapToGrid w:val="0"/>
        <w:ind w:firstLine="560"/>
        <w:rPr>
          <w:rFonts w:ascii="仿宋" w:hAnsi="仿宋" w:eastAsia="仿宋" w:cs="仿宋"/>
          <w:sz w:val="28"/>
          <w:szCs w:val="28"/>
        </w:rPr>
      </w:pPr>
      <w:r>
        <w:rPr>
          <w:rFonts w:hint="eastAsia" w:ascii="仿宋" w:hAnsi="仿宋" w:eastAsia="仿宋" w:cs="仿宋"/>
          <w:sz w:val="28"/>
          <w:szCs w:val="28"/>
        </w:rPr>
        <w:t>6、相对一致性、相对完整性原则</w:t>
      </w:r>
    </w:p>
    <w:p>
      <w:pPr>
        <w:snapToGrid w:val="0"/>
        <w:ind w:firstLine="560"/>
        <w:rPr>
          <w:rFonts w:ascii="仿宋" w:hAnsi="仿宋" w:eastAsia="仿宋" w:cs="仿宋"/>
          <w:sz w:val="28"/>
          <w:szCs w:val="28"/>
        </w:rPr>
      </w:pPr>
      <w:r>
        <w:rPr>
          <w:rFonts w:hint="eastAsia" w:ascii="仿宋" w:hAnsi="仿宋" w:eastAsia="仿宋" w:cs="仿宋"/>
          <w:sz w:val="28"/>
          <w:szCs w:val="28"/>
        </w:rPr>
        <w:t>划分的易发程度分区要保持一定的一致性，不同的分区有不同的致灾因子。同时，分区不得在区外出现独立于本区而又属于本区的地域，也不得在区内出现属于外区的地域。在具体划分分区界线时，尽可能以自然界线为主，在遵循地质规律的前提下，适当照顾行政区的完整性。</w:t>
      </w:r>
    </w:p>
    <w:p>
      <w:pPr>
        <w:pStyle w:val="6"/>
        <w:snapToGrid w:val="0"/>
        <w:spacing w:beforeLines="0" w:afterLines="0"/>
        <w:ind w:firstLine="562" w:firstLineChars="200"/>
        <w:rPr>
          <w:rFonts w:cs="仿宋"/>
          <w:szCs w:val="28"/>
        </w:rPr>
      </w:pPr>
      <w:bookmarkStart w:id="300" w:name="_Toc26958"/>
      <w:bookmarkStart w:id="301" w:name="_Toc7882"/>
      <w:bookmarkStart w:id="302" w:name="_Toc469046124"/>
      <w:bookmarkStart w:id="303" w:name="_Toc25443"/>
      <w:r>
        <w:rPr>
          <w:rFonts w:hint="eastAsia" w:cs="仿宋"/>
          <w:szCs w:val="28"/>
        </w:rPr>
        <w:t>三、分区的方法及步骤</w:t>
      </w:r>
      <w:bookmarkEnd w:id="300"/>
      <w:bookmarkEnd w:id="301"/>
      <w:bookmarkEnd w:id="302"/>
      <w:bookmarkEnd w:id="303"/>
    </w:p>
    <w:p>
      <w:pPr>
        <w:snapToGrid w:val="0"/>
        <w:ind w:firstLine="562"/>
        <w:rPr>
          <w:rFonts w:ascii="仿宋" w:hAnsi="仿宋" w:eastAsia="仿宋" w:cs="仿宋"/>
          <w:b/>
          <w:bCs/>
          <w:sz w:val="28"/>
          <w:szCs w:val="28"/>
        </w:rPr>
      </w:pPr>
      <w:bookmarkStart w:id="304" w:name="_Toc469046125"/>
      <w:bookmarkStart w:id="305" w:name="_Toc312944526"/>
      <w:bookmarkStart w:id="306" w:name="_Toc312834557"/>
      <w:bookmarkStart w:id="307" w:name="_Toc107829881"/>
      <w:r>
        <w:rPr>
          <w:rFonts w:hint="eastAsia" w:ascii="仿宋" w:hAnsi="仿宋" w:eastAsia="仿宋" w:cs="仿宋"/>
          <w:b/>
          <w:bCs/>
          <w:sz w:val="28"/>
          <w:szCs w:val="28"/>
        </w:rPr>
        <w:t>（一）分区方法</w:t>
      </w:r>
      <w:bookmarkEnd w:id="304"/>
      <w:bookmarkEnd w:id="305"/>
      <w:bookmarkEnd w:id="306"/>
      <w:bookmarkEnd w:id="307"/>
    </w:p>
    <w:p>
      <w:pPr>
        <w:snapToGrid w:val="0"/>
        <w:ind w:firstLine="560"/>
        <w:rPr>
          <w:rFonts w:ascii="仿宋" w:hAnsi="仿宋" w:eastAsia="仿宋" w:cs="仿宋"/>
          <w:sz w:val="28"/>
          <w:szCs w:val="28"/>
        </w:rPr>
      </w:pPr>
      <w:r>
        <w:rPr>
          <w:rFonts w:hint="eastAsia" w:ascii="仿宋" w:hAnsi="仿宋" w:eastAsia="仿宋" w:cs="仿宋"/>
          <w:sz w:val="28"/>
          <w:szCs w:val="28"/>
        </w:rPr>
        <w:t>本次对五通桥区的地质灾害采用定性与定量、半定量相结合的方法进行分区评价，以定性分区为主，通过对各区域的地质环境条件、地质灾害发育现状以及人类工程活动等因素着手进行分区，着重考虑地质灾害的形成条件。</w:t>
      </w:r>
    </w:p>
    <w:p>
      <w:pPr>
        <w:snapToGrid w:val="0"/>
        <w:ind w:firstLine="560"/>
        <w:rPr>
          <w:rFonts w:ascii="仿宋" w:hAnsi="仿宋" w:eastAsia="仿宋" w:cs="仿宋"/>
          <w:sz w:val="28"/>
          <w:szCs w:val="28"/>
        </w:rPr>
      </w:pPr>
      <w:r>
        <w:rPr>
          <w:rFonts w:hint="eastAsia" w:ascii="仿宋" w:hAnsi="仿宋" w:eastAsia="仿宋" w:cs="仿宋"/>
          <w:sz w:val="28"/>
          <w:szCs w:val="28"/>
        </w:rPr>
        <w:t>地质灾害易发性分区，采用数学综合评判的半定量方法。根据五通桥区地质灾害的发育分布规律、地质环境条件以及人类工程经济活现状与未来，选取影响地质灾害的发生、发展的因素，对地质灾害易发性有影响的主要因素进行分级处理并赋以分量值，并充分考虑各选取因素对地质灾害的影响程度大小，赋予不同权重体现其影响程度。具体为将五通桥区465.67km</w:t>
      </w:r>
      <w:r>
        <w:rPr>
          <w:rFonts w:hint="eastAsia" w:ascii="仿宋" w:hAnsi="仿宋" w:eastAsia="仿宋" w:cs="仿宋"/>
          <w:sz w:val="28"/>
          <w:szCs w:val="28"/>
          <w:vertAlign w:val="superscript"/>
        </w:rPr>
        <w:t>2</w:t>
      </w:r>
      <w:r>
        <w:rPr>
          <w:rFonts w:hint="eastAsia" w:ascii="仿宋" w:hAnsi="仿宋" w:eastAsia="仿宋" w:cs="仿宋"/>
          <w:sz w:val="28"/>
          <w:szCs w:val="28"/>
        </w:rPr>
        <w:t>采用网格剖分法分成若干样本区，每个样本区间分别对各项分区指标打分赋值，经数值化处理后，从而获得各样本区间的各项指标分区值，然后对各项分区指标进行叠加分析，得出样本区间的易发程度值。最后，依据所有样本区间的易发程度值，进行统计分区。具体流程见图4-1，易发分区评价各级因子见图4-2。</w:t>
      </w:r>
    </w:p>
    <w:p>
      <w:pPr>
        <w:snapToGrid w:val="0"/>
        <w:ind w:firstLine="480"/>
      </w:pPr>
      <w:r>
        <mc:AlternateContent>
          <mc:Choice Requires="wpg">
            <w:drawing>
              <wp:inline distT="0" distB="0" distL="114300" distR="114300">
                <wp:extent cx="3919855" cy="4543425"/>
                <wp:effectExtent l="0" t="4445" r="0" b="0"/>
                <wp:docPr id="22" name="组合 3"/>
                <wp:cNvGraphicFramePr/>
                <a:graphic xmlns:a="http://schemas.openxmlformats.org/drawingml/2006/main">
                  <a:graphicData uri="http://schemas.microsoft.com/office/word/2010/wordprocessingGroup">
                    <wpg:wgp>
                      <wpg:cNvGrpSpPr/>
                      <wpg:grpSpPr>
                        <a:xfrm>
                          <a:off x="0" y="0"/>
                          <a:ext cx="3919855" cy="4543425"/>
                          <a:chOff x="2963" y="1759"/>
                          <a:chExt cx="4344" cy="6365"/>
                        </a:xfrm>
                      </wpg:grpSpPr>
                      <wpg:grpSp>
                        <wpg:cNvPr id="20" name="组合 4"/>
                        <wpg:cNvGrpSpPr/>
                        <wpg:grpSpPr>
                          <a:xfrm>
                            <a:off x="3634" y="1759"/>
                            <a:ext cx="3387" cy="5762"/>
                            <a:chOff x="4658" y="6233"/>
                            <a:chExt cx="2520" cy="4002"/>
                          </a:xfrm>
                        </wpg:grpSpPr>
                        <wps:wsp>
                          <wps:cNvPr id="1" name="文本框 5"/>
                          <wps:cNvSpPr txBox="1"/>
                          <wps:spPr>
                            <a:xfrm>
                              <a:off x="5378" y="9980"/>
                              <a:ext cx="108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综合分区</w:t>
                                </w:r>
                              </w:p>
                            </w:txbxContent>
                          </wps:txbx>
                          <wps:bodyPr lIns="18000" tIns="10800" rIns="18000" bIns="10800" upright="1"/>
                        </wps:wsp>
                        <wps:wsp>
                          <wps:cNvPr id="2" name="直线 6"/>
                          <wps:cNvCnPr/>
                          <wps:spPr>
                            <a:xfrm>
                              <a:off x="5918" y="7796"/>
                              <a:ext cx="0" cy="300"/>
                            </a:xfrm>
                            <a:prstGeom prst="line">
                              <a:avLst/>
                            </a:prstGeom>
                            <a:ln w="9525" cap="flat" cmpd="sng">
                              <a:solidFill>
                                <a:srgbClr val="000000"/>
                              </a:solidFill>
                              <a:prstDash val="solid"/>
                              <a:headEnd type="none" w="med" len="med"/>
                              <a:tailEnd type="triangle" w="med" len="med"/>
                            </a:ln>
                          </wps:spPr>
                          <wps:bodyPr/>
                        </wps:wsp>
                        <wps:wsp>
                          <wps:cNvPr id="3" name="文本框 7"/>
                          <wps:cNvSpPr txBox="1"/>
                          <wps:spPr>
                            <a:xfrm>
                              <a:off x="4838" y="7484"/>
                              <a:ext cx="216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建立地质灾害易发分区模型</w:t>
                                </w:r>
                              </w:p>
                            </w:txbxContent>
                          </wps:txbx>
                          <wps:bodyPr lIns="18000" tIns="10800" rIns="18000" bIns="10800" upright="1"/>
                        </wps:wsp>
                        <wps:wsp>
                          <wps:cNvPr id="4" name="文本框 8"/>
                          <wps:cNvSpPr txBox="1"/>
                          <wps:spPr>
                            <a:xfrm>
                              <a:off x="4658" y="6860"/>
                              <a:ext cx="252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选取区划因素建立分区指标体系</w:t>
                                </w:r>
                              </w:p>
                            </w:txbxContent>
                          </wps:txbx>
                          <wps:bodyPr lIns="18000" tIns="10800" rIns="18000" bIns="10800" upright="1"/>
                        </wps:wsp>
                        <wps:wsp>
                          <wps:cNvPr id="5" name="直线 9"/>
                          <wps:cNvCnPr/>
                          <wps:spPr>
                            <a:xfrm>
                              <a:off x="5918" y="7172"/>
                              <a:ext cx="0" cy="300"/>
                            </a:xfrm>
                            <a:prstGeom prst="line">
                              <a:avLst/>
                            </a:prstGeom>
                            <a:ln w="9525" cap="flat" cmpd="sng">
                              <a:solidFill>
                                <a:srgbClr val="000000"/>
                              </a:solidFill>
                              <a:prstDash val="solid"/>
                              <a:headEnd type="none" w="med" len="med"/>
                              <a:tailEnd type="triangle" w="med" len="med"/>
                            </a:ln>
                          </wps:spPr>
                          <wps:bodyPr/>
                        </wps:wsp>
                        <wps:wsp>
                          <wps:cNvPr id="6" name="文本框 10"/>
                          <wps:cNvSpPr txBox="1"/>
                          <wps:spPr>
                            <a:xfrm>
                              <a:off x="5378" y="8732"/>
                              <a:ext cx="108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剖分计算单元</w:t>
                                </w:r>
                              </w:p>
                            </w:txbxContent>
                          </wps:txbx>
                          <wps:bodyPr lIns="18000" tIns="10800" rIns="18000" bIns="10800" upright="1"/>
                        </wps:wsp>
                        <wps:wsp>
                          <wps:cNvPr id="7" name="直线 11"/>
                          <wps:cNvCnPr/>
                          <wps:spPr>
                            <a:xfrm>
                              <a:off x="5918" y="9004"/>
                              <a:ext cx="0" cy="300"/>
                            </a:xfrm>
                            <a:prstGeom prst="line">
                              <a:avLst/>
                            </a:prstGeom>
                            <a:ln w="9525" cap="flat" cmpd="sng">
                              <a:solidFill>
                                <a:srgbClr val="000000"/>
                              </a:solidFill>
                              <a:prstDash val="solid"/>
                              <a:headEnd type="none" w="med" len="med"/>
                              <a:tailEnd type="triangle" w="med" len="med"/>
                            </a:ln>
                          </wps:spPr>
                          <wps:bodyPr/>
                        </wps:wsp>
                        <wps:wsp>
                          <wps:cNvPr id="14" name="文本框 12"/>
                          <wps:cNvSpPr txBox="1"/>
                          <wps:spPr>
                            <a:xfrm>
                              <a:off x="4838" y="9356"/>
                              <a:ext cx="216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sz w:val="21"/>
                                    <w:szCs w:val="21"/>
                                  </w:rPr>
                                </w:pPr>
                                <w:r>
                                  <w:rPr>
                                    <w:rFonts w:hint="eastAsia" w:ascii="仿宋" w:hAnsi="仿宋" w:eastAsia="仿宋" w:cs="仿宋"/>
                                    <w:sz w:val="21"/>
                                    <w:szCs w:val="21"/>
                                  </w:rPr>
                                  <w:t>计算各单元的易发程度指数</w:t>
                                </w:r>
                              </w:p>
                            </w:txbxContent>
                          </wps:txbx>
                          <wps:bodyPr lIns="18000" tIns="10800" rIns="18000" bIns="10800" upright="1"/>
                        </wps:wsp>
                        <wps:wsp>
                          <wps:cNvPr id="15" name="直线 13"/>
                          <wps:cNvCnPr/>
                          <wps:spPr>
                            <a:xfrm>
                              <a:off x="5918" y="9628"/>
                              <a:ext cx="0" cy="300"/>
                            </a:xfrm>
                            <a:prstGeom prst="line">
                              <a:avLst/>
                            </a:prstGeom>
                            <a:ln w="9525" cap="flat" cmpd="sng">
                              <a:solidFill>
                                <a:srgbClr val="000000"/>
                              </a:solidFill>
                              <a:prstDash val="solid"/>
                              <a:headEnd type="none" w="med" len="med"/>
                              <a:tailEnd type="triangle" w="med" len="med"/>
                            </a:ln>
                          </wps:spPr>
                          <wps:bodyPr/>
                        </wps:wsp>
                        <wps:wsp>
                          <wps:cNvPr id="16" name="文本框 14"/>
                          <wps:cNvSpPr txBox="1"/>
                          <wps:spPr>
                            <a:xfrm>
                              <a:off x="5378" y="6233"/>
                              <a:ext cx="108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确定分区方法</w:t>
                                </w:r>
                              </w:p>
                            </w:txbxContent>
                          </wps:txbx>
                          <wps:bodyPr lIns="18000" tIns="10800" rIns="18000" bIns="10800" upright="1"/>
                        </wps:wsp>
                        <wps:wsp>
                          <wps:cNvPr id="17" name="直线 15"/>
                          <wps:cNvCnPr/>
                          <wps:spPr>
                            <a:xfrm>
                              <a:off x="5918" y="6548"/>
                              <a:ext cx="0" cy="300"/>
                            </a:xfrm>
                            <a:prstGeom prst="line">
                              <a:avLst/>
                            </a:prstGeom>
                            <a:ln w="9525" cap="flat" cmpd="sng">
                              <a:solidFill>
                                <a:srgbClr val="000000"/>
                              </a:solidFill>
                              <a:prstDash val="solid"/>
                              <a:headEnd type="none" w="med" len="med"/>
                              <a:tailEnd type="triangle" w="med" len="med"/>
                            </a:ln>
                          </wps:spPr>
                          <wps:bodyPr/>
                        </wps:wsp>
                        <wps:wsp>
                          <wps:cNvPr id="18" name="文本框 16"/>
                          <wps:cNvSpPr txBox="1"/>
                          <wps:spPr>
                            <a:xfrm>
                              <a:off x="5378" y="8108"/>
                              <a:ext cx="108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数据处理</w:t>
                                </w:r>
                              </w:p>
                            </w:txbxContent>
                          </wps:txbx>
                          <wps:bodyPr lIns="18000" tIns="10800" rIns="18000" bIns="10800" upright="1"/>
                        </wps:wsp>
                        <wps:wsp>
                          <wps:cNvPr id="19" name="直线 17"/>
                          <wps:cNvCnPr/>
                          <wps:spPr>
                            <a:xfrm>
                              <a:off x="5918" y="8420"/>
                              <a:ext cx="0" cy="300"/>
                            </a:xfrm>
                            <a:prstGeom prst="line">
                              <a:avLst/>
                            </a:prstGeom>
                            <a:ln w="9525" cap="flat" cmpd="sng">
                              <a:solidFill>
                                <a:srgbClr val="000000"/>
                              </a:solidFill>
                              <a:prstDash val="solid"/>
                              <a:headEnd type="none" w="med" len="med"/>
                              <a:tailEnd type="triangle" w="med" len="med"/>
                            </a:ln>
                          </wps:spPr>
                          <wps:bodyPr/>
                        </wps:wsp>
                      </wpg:grpSp>
                      <wps:wsp>
                        <wps:cNvPr id="21" name="文本框 18"/>
                        <wps:cNvSpPr txBox="1"/>
                        <wps:spPr>
                          <a:xfrm>
                            <a:off x="2963" y="7648"/>
                            <a:ext cx="4344" cy="476"/>
                          </a:xfrm>
                          <a:prstGeom prst="rect">
                            <a:avLst/>
                          </a:prstGeom>
                          <a:noFill/>
                          <a:ln>
                            <a:noFill/>
                          </a:ln>
                        </wps:spPr>
                        <wps:txbx>
                          <w:txbxContent>
                            <w:p>
                              <w:pPr>
                                <w:pStyle w:val="61"/>
                                <w:spacing w:line="240" w:lineRule="auto"/>
                                <w:rPr>
                                  <w:rFonts w:ascii="仿宋" w:hAnsi="仿宋" w:eastAsia="仿宋" w:cs="仿宋"/>
                                  <w:bCs/>
                                  <w:sz w:val="21"/>
                                  <w:szCs w:val="21"/>
                                </w:rPr>
                              </w:pPr>
                              <w:r>
                                <w:rPr>
                                  <w:rFonts w:hint="eastAsia" w:ascii="仿宋" w:hAnsi="仿宋" w:eastAsia="仿宋" w:cs="仿宋"/>
                                  <w:bCs/>
                                  <w:sz w:val="21"/>
                                  <w:szCs w:val="21"/>
                                </w:rPr>
                                <w:t>图4-1  五通桥区地质灾害易发分区流程图</w:t>
                              </w:r>
                            </w:p>
                          </w:txbxContent>
                        </wps:txbx>
                        <wps:bodyPr upright="1"/>
                      </wps:wsp>
                    </wpg:wgp>
                  </a:graphicData>
                </a:graphic>
              </wp:inline>
            </w:drawing>
          </mc:Choice>
          <mc:Fallback>
            <w:pict>
              <v:group id="组合 3" o:spid="_x0000_s1026" o:spt="203" style="height:357.75pt;width:308.65pt;" coordorigin="2963,1759" coordsize="4344,6365" o:gfxdata="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Bb4ZZ9YAAAAFAQAADwAAAAAAAAABACAAAAAiAAAAZHJzL2Rvd25yZXYueG1sUEsB&#10;AhQAFAAAAAgAh07iQFzPurajBAAAZCMAAA4AAAAAAAAAAQAgAAAAJQEAAGRycy9lMm9Eb2MueG1s&#10;UEsFBgAAAAAGAAYAWQEAADoIAAAAAA==&#10;">
                <o:lock v:ext="edit" aspectratio="f"/>
                <v:group id="组合 4" o:spid="_x0000_s1026" o:spt="203" style="position:absolute;left:3634;top:1759;height:5762;width:3387;" coordorigin="4658,6233" coordsize="2520,400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文本框 5" o:spid="_x0000_s1026" o:spt="202" type="#_x0000_t202" style="position:absolute;left:5378;top:9980;height:255;width:1080;" fillcolor="#FFFFFF" filled="t" stroked="t" coordsize="21600,21600" o:gfxdata="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sZje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综合分区</w:t>
                          </w:r>
                        </w:p>
                      </w:txbxContent>
                    </v:textbox>
                  </v:shape>
                  <v:line id="直线 6" o:spid="_x0000_s1026" o:spt="20" style="position:absolute;left:5918;top:7796;height:300;width:0;" filled="f" stroked="t" coordsize="21600,21600" o:gfxdata="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ma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 o:spid="_x0000_s1026" o:spt="202" type="#_x0000_t202" style="position:absolute;left:4838;top:7484;height:255;width:2160;" fillcolor="#FFFFFF" filled="t" stroked="t" coordsize="21600,21600" o:gfxdata="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Xdu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建立地质灾害易发分区模型</w:t>
                          </w:r>
                        </w:p>
                      </w:txbxContent>
                    </v:textbox>
                  </v:shape>
                  <v:shape id="文本框 8" o:spid="_x0000_s1026" o:spt="202" type="#_x0000_t202" style="position:absolute;left:4658;top:6860;height:255;width:2520;" fillcolor="#FFFFFF" filled="t" stroked="t" coordsize="21600,21600" o:gfxdata="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8Wv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选取区划因素建立分区指标体系</w:t>
                          </w:r>
                        </w:p>
                      </w:txbxContent>
                    </v:textbox>
                  </v:shape>
                  <v:line id="直线 9" o:spid="_x0000_s1026" o:spt="20" style="position:absolute;left:5918;top:7172;height:300;width:0;"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0" o:spid="_x0000_s1026" o:spt="202" type="#_x0000_t202" style="position:absolute;left:5378;top:8732;height:255;width:1080;" fillcolor="#FFFFFF" filled="t" stroked="t" coordsize="21600,21600" o:gfxdata="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hf5D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剖分计算单元</w:t>
                          </w:r>
                        </w:p>
                      </w:txbxContent>
                    </v:textbox>
                  </v:shape>
                  <v:line id="直线 11" o:spid="_x0000_s1026" o:spt="20" style="position:absolute;left:5918;top:9004;height:300;width: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2" o:spid="_x0000_s1026" o:spt="202" type="#_x0000_t202" style="position:absolute;left:4838;top:9356;height:255;width:2160;" fillcolor="#FFFFFF" filled="t" stroked="t" coordsize="21600,21600" o:gfxdata="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EWw4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5mm,0.3mm,0.5mm,0.3mm">
                      <w:txbxContent>
                        <w:p>
                          <w:pPr>
                            <w:pStyle w:val="106"/>
                            <w:snapToGrid w:val="0"/>
                            <w:spacing w:line="240" w:lineRule="auto"/>
                            <w:ind w:firstLine="0" w:firstLineChars="0"/>
                            <w:rPr>
                              <w:sz w:val="21"/>
                              <w:szCs w:val="21"/>
                            </w:rPr>
                          </w:pPr>
                          <w:r>
                            <w:rPr>
                              <w:rFonts w:hint="eastAsia" w:ascii="仿宋" w:hAnsi="仿宋" w:eastAsia="仿宋" w:cs="仿宋"/>
                              <w:sz w:val="21"/>
                              <w:szCs w:val="21"/>
                            </w:rPr>
                            <w:t>计算各单元的易发程度指数</w:t>
                          </w:r>
                        </w:p>
                      </w:txbxContent>
                    </v:textbox>
                  </v:shape>
                  <v:line id="直线 13" o:spid="_x0000_s1026" o:spt="20" style="position:absolute;left:5918;top:9628;height:300;width:0;"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14" o:spid="_x0000_s1026" o:spt="202" type="#_x0000_t202" style="position:absolute;left:5378;top:6233;height:255;width:1080;" fillcolor="#FFFFFF" filled="t" stroked="t" coordsize="21600,21600" o:gfxdata="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9X1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确定分区方法</w:t>
                          </w:r>
                        </w:p>
                      </w:txbxContent>
                    </v:textbox>
                  </v:shape>
                  <v:line id="直线 15" o:spid="_x0000_s1026" o:spt="20" style="position:absolute;left:5918;top:6548;height:300;width: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16" o:spid="_x0000_s1026" o:spt="202" type="#_x0000_t202" style="position:absolute;left:5378;top:8108;height:255;width:1080;" fillcolor="#FFFFFF" filled="t" stroked="t" coordsize="21600,21600" o:gfxdata="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xmP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数据处理</w:t>
                          </w:r>
                        </w:p>
                      </w:txbxContent>
                    </v:textbox>
                  </v:shape>
                  <v:line id="直线 17" o:spid="_x0000_s1026" o:spt="20" style="position:absolute;left:5918;top:8420;height:300;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18" o:spid="_x0000_s1026" o:spt="202" type="#_x0000_t202" style="position:absolute;left:2963;top:7648;height:476;width:4344;"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1"/>
                          <w:spacing w:line="240" w:lineRule="auto"/>
                          <w:rPr>
                            <w:rFonts w:ascii="仿宋" w:hAnsi="仿宋" w:eastAsia="仿宋" w:cs="仿宋"/>
                            <w:bCs/>
                            <w:sz w:val="21"/>
                            <w:szCs w:val="21"/>
                          </w:rPr>
                        </w:pPr>
                        <w:r>
                          <w:rPr>
                            <w:rFonts w:hint="eastAsia" w:ascii="仿宋" w:hAnsi="仿宋" w:eastAsia="仿宋" w:cs="仿宋"/>
                            <w:bCs/>
                            <w:sz w:val="21"/>
                            <w:szCs w:val="21"/>
                          </w:rPr>
                          <w:t>图4-1  五通桥区地质灾害易发分区流程图</w:t>
                        </w:r>
                      </w:p>
                    </w:txbxContent>
                  </v:textbox>
                </v:shape>
                <w10:wrap type="none"/>
                <w10:anchorlock/>
              </v:group>
            </w:pict>
          </mc:Fallback>
        </mc:AlternateContent>
      </w:r>
    </w:p>
    <w:p>
      <w:pPr>
        <w:snapToGrid w:val="0"/>
        <w:ind w:firstLine="480"/>
      </w:pPr>
    </w:p>
    <w:p>
      <w:pPr>
        <w:snapToGrid w:val="0"/>
        <w:ind w:firstLine="480"/>
      </w:pPr>
    </w:p>
    <w:p>
      <w:pPr>
        <w:snapToGrid w:val="0"/>
        <w:ind w:firstLine="480"/>
      </w:pPr>
    </w:p>
    <w:p>
      <w:pPr>
        <w:snapToGrid w:val="0"/>
        <w:ind w:firstLine="480"/>
      </w:pPr>
    </w:p>
    <w:p>
      <w:pPr>
        <w:snapToGrid w:val="0"/>
        <w:ind w:firstLine="480"/>
      </w:pPr>
    </w:p>
    <w:p>
      <w:pPr>
        <w:snapToGrid w:val="0"/>
        <w:ind w:firstLine="480"/>
      </w:pPr>
    </w:p>
    <w:p>
      <w:pPr>
        <w:snapToGrid w:val="0"/>
        <w:ind w:firstLine="480"/>
      </w:pPr>
    </w:p>
    <w:p>
      <w:pPr>
        <w:snapToGrid w:val="0"/>
        <w:ind w:firstLine="0" w:firstLineChars="0"/>
      </w:pPr>
      <w:r>
        <mc:AlternateContent>
          <mc:Choice Requires="wpg">
            <w:drawing>
              <wp:inline distT="0" distB="0" distL="114300" distR="114300">
                <wp:extent cx="5429250" cy="6014720"/>
                <wp:effectExtent l="4445" t="4445" r="14605" b="0"/>
                <wp:docPr id="96" name="组合 19"/>
                <wp:cNvGraphicFramePr/>
                <a:graphic xmlns:a="http://schemas.openxmlformats.org/drawingml/2006/main">
                  <a:graphicData uri="http://schemas.microsoft.com/office/word/2010/wordprocessingGroup">
                    <wpg:wgp>
                      <wpg:cNvGrpSpPr/>
                      <wpg:grpSpPr>
                        <a:xfrm>
                          <a:off x="0" y="0"/>
                          <a:ext cx="5429250" cy="6014720"/>
                          <a:chOff x="2575" y="8444"/>
                          <a:chExt cx="6870" cy="6432"/>
                        </a:xfrm>
                      </wpg:grpSpPr>
                      <wps:wsp>
                        <wps:cNvPr id="23" name="文本框 20"/>
                        <wps:cNvSpPr txBox="1"/>
                        <wps:spPr>
                          <a:xfrm>
                            <a:off x="3970" y="14400"/>
                            <a:ext cx="4344" cy="476"/>
                          </a:xfrm>
                          <a:prstGeom prst="rect">
                            <a:avLst/>
                          </a:prstGeom>
                          <a:noFill/>
                          <a:ln>
                            <a:noFill/>
                          </a:ln>
                        </wps:spPr>
                        <wps:txbx>
                          <w:txbxContent>
                            <w:p>
                              <w:pPr>
                                <w:pStyle w:val="61"/>
                                <w:spacing w:line="240" w:lineRule="auto"/>
                                <w:rPr>
                                  <w:rFonts w:ascii="仿宋" w:hAnsi="仿宋" w:eastAsia="仿宋" w:cs="仿宋"/>
                                  <w:bCs/>
                                  <w:sz w:val="21"/>
                                  <w:szCs w:val="21"/>
                                </w:rPr>
                              </w:pPr>
                              <w:r>
                                <w:rPr>
                                  <w:rFonts w:hint="eastAsia" w:ascii="仿宋" w:hAnsi="仿宋" w:eastAsia="仿宋" w:cs="仿宋"/>
                                  <w:bCs/>
                                  <w:sz w:val="21"/>
                                  <w:szCs w:val="21"/>
                                </w:rPr>
                                <w:t>图4-2  易发分区评价因子示意图</w:t>
                              </w:r>
                            </w:p>
                          </w:txbxContent>
                        </wps:txbx>
                        <wps:bodyPr upright="1"/>
                      </wps:wsp>
                      <wpg:grpSp>
                        <wpg:cNvPr id="95" name="组合 21"/>
                        <wpg:cNvGrpSpPr/>
                        <wpg:grpSpPr>
                          <a:xfrm>
                            <a:off x="2575" y="8444"/>
                            <a:ext cx="6870" cy="5891"/>
                            <a:chOff x="2815" y="8743"/>
                            <a:chExt cx="6870" cy="5891"/>
                          </a:xfrm>
                        </wpg:grpSpPr>
                        <wps:wsp>
                          <wps:cNvPr id="24" name="文本框 22"/>
                          <wps:cNvSpPr txBox="1"/>
                          <wps:spPr>
                            <a:xfrm>
                              <a:off x="6422" y="9144"/>
                              <a:ext cx="858" cy="2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地形地貌</w:t>
                                </w:r>
                              </w:p>
                            </w:txbxContent>
                          </wps:txbx>
                          <wps:bodyPr lIns="18000" tIns="10800" rIns="18000" bIns="10800" upright="1"/>
                        </wps:wsp>
                        <wpg:grpSp>
                          <wpg:cNvPr id="94" name="组合 23"/>
                          <wpg:cNvGrpSpPr/>
                          <wpg:grpSpPr>
                            <a:xfrm>
                              <a:off x="2815" y="8743"/>
                              <a:ext cx="6870" cy="5891"/>
                              <a:chOff x="2815" y="8743"/>
                              <a:chExt cx="6870" cy="5891"/>
                            </a:xfrm>
                          </wpg:grpSpPr>
                          <wps:wsp>
                            <wps:cNvPr id="25" name="任意多边形 24"/>
                            <wps:cNvSpPr/>
                            <wps:spPr>
                              <a:xfrm>
                                <a:off x="3672" y="9801"/>
                                <a:ext cx="2" cy="3948"/>
                              </a:xfrm>
                              <a:custGeom>
                                <a:avLst/>
                                <a:gdLst/>
                                <a:ahLst/>
                                <a:cxnLst/>
                                <a:rect l="0" t="0" r="0" b="0"/>
                                <a:pathLst>
                                  <a:path w="3" h="4149">
                                    <a:moveTo>
                                      <a:pt x="0" y="0"/>
                                    </a:moveTo>
                                    <a:lnTo>
                                      <a:pt x="3" y="4149"/>
                                    </a:lnTo>
                                  </a:path>
                                </a:pathLst>
                              </a:custGeom>
                              <a:noFill/>
                              <a:ln w="9525" cap="flat" cmpd="sng">
                                <a:solidFill>
                                  <a:srgbClr val="000000"/>
                                </a:solidFill>
                                <a:prstDash val="solid"/>
                                <a:headEnd type="none" w="med" len="med"/>
                                <a:tailEnd type="none" w="med" len="med"/>
                              </a:ln>
                            </wps:spPr>
                            <wps:bodyPr upright="1"/>
                          </wps:wsp>
                          <wpg:grpSp>
                            <wpg:cNvPr id="93" name="组合 25"/>
                            <wpg:cNvGrpSpPr/>
                            <wpg:grpSpPr>
                              <a:xfrm>
                                <a:off x="2815" y="8743"/>
                                <a:ext cx="6870" cy="5891"/>
                                <a:chOff x="2815" y="8743"/>
                                <a:chExt cx="6870" cy="5891"/>
                              </a:xfrm>
                            </wpg:grpSpPr>
                            <wpg:grpSp>
                              <wpg:cNvPr id="47" name="组合 26"/>
                              <wpg:cNvGrpSpPr/>
                              <wpg:grpSpPr>
                                <a:xfrm>
                                  <a:off x="3674" y="8743"/>
                                  <a:ext cx="6011" cy="2000"/>
                                  <a:chOff x="2678" y="3812"/>
                                  <a:chExt cx="6300" cy="2085"/>
                                </a:xfrm>
                              </wpg:grpSpPr>
                              <wps:wsp>
                                <wps:cNvPr id="26" name="文本框 27"/>
                                <wps:cNvSpPr txBox="1"/>
                                <wps:spPr>
                                  <a:xfrm>
                                    <a:off x="3218" y="4763"/>
                                    <a:ext cx="1260" cy="3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地质环境条件</w:t>
                                      </w:r>
                                    </w:p>
                                  </w:txbxContent>
                                </wps:txbx>
                                <wps:bodyPr lIns="18000" tIns="10800" rIns="18000" bIns="10800" upright="1"/>
                              </wps:wsp>
                              <wps:wsp>
                                <wps:cNvPr id="27" name="文本框 28"/>
                                <wps:cNvSpPr txBox="1"/>
                                <wps:spPr>
                                  <a:xfrm flipV="1">
                                    <a:off x="5558" y="5296"/>
                                    <a:ext cx="90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地质构造</w:t>
                                      </w:r>
                                    </w:p>
                                  </w:txbxContent>
                                </wps:txbx>
                                <wps:bodyPr lIns="18000" tIns="10800" rIns="18000" bIns="10800" upright="1"/>
                              </wps:wsp>
                              <wps:wsp>
                                <wps:cNvPr id="28" name="文本框 29"/>
                                <wps:cNvSpPr txBox="1"/>
                                <wps:spPr>
                                  <a:xfrm>
                                    <a:off x="7538" y="3812"/>
                                    <a:ext cx="144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切割深度</w:t>
                                      </w:r>
                                    </w:p>
                                  </w:txbxContent>
                                </wps:txbx>
                                <wps:bodyPr lIns="18000" tIns="10800" rIns="18000" bIns="10800" upright="1"/>
                              </wps:wsp>
                              <wps:wsp>
                                <wps:cNvPr id="29" name="文本框 30"/>
                                <wps:cNvSpPr txBox="1"/>
                                <wps:spPr>
                                  <a:xfrm>
                                    <a:off x="7538" y="4166"/>
                                    <a:ext cx="144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沟谷密度</w:t>
                                      </w:r>
                                    </w:p>
                                  </w:txbxContent>
                                </wps:txbx>
                                <wps:bodyPr lIns="18000" tIns="10800" rIns="18000" bIns="10800" upright="1"/>
                              </wps:wsp>
                              <wps:wsp>
                                <wps:cNvPr id="30" name="文本框 31"/>
                                <wps:cNvSpPr txBox="1"/>
                                <wps:spPr>
                                  <a:xfrm>
                                    <a:off x="7538" y="4510"/>
                                    <a:ext cx="144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w:t>
                                      </w:r>
                                    </w:p>
                                  </w:txbxContent>
                                </wps:txbx>
                                <wps:bodyPr lIns="18000" tIns="10800" rIns="18000" bIns="10800" upright="1"/>
                              </wps:wsp>
                              <wps:wsp>
                                <wps:cNvPr id="31" name="文本框 32"/>
                                <wps:cNvSpPr txBox="1"/>
                                <wps:spPr>
                                  <a:xfrm>
                                    <a:off x="7538" y="4984"/>
                                    <a:ext cx="1440" cy="2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岩体完整程度</w:t>
                                      </w:r>
                                    </w:p>
                                  </w:txbxContent>
                                </wps:txbx>
                                <wps:bodyPr lIns="54000" tIns="10800" rIns="54000" bIns="10800" upright="1"/>
                              </wps:wsp>
                              <wps:wsp>
                                <wps:cNvPr id="32" name="文本框 33"/>
                                <wps:cNvSpPr txBox="1"/>
                                <wps:spPr>
                                  <a:xfrm>
                                    <a:off x="7538" y="5296"/>
                                    <a:ext cx="1440" cy="2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地震烈度</w:t>
                                      </w:r>
                                    </w:p>
                                  </w:txbxContent>
                                </wps:txbx>
                                <wps:bodyPr lIns="54000" tIns="10800" rIns="54000" bIns="10800" upright="1"/>
                              </wps:wsp>
                              <wps:wsp>
                                <wps:cNvPr id="33" name="文本框 34"/>
                                <wps:cNvSpPr txBox="1"/>
                                <wps:spPr>
                                  <a:xfrm>
                                    <a:off x="7538" y="5608"/>
                                    <a:ext cx="1440" cy="2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构造发育程度</w:t>
                                      </w:r>
                                    </w:p>
                                  </w:txbxContent>
                                </wps:txbx>
                                <wps:bodyPr lIns="54000" tIns="10800" rIns="54000" bIns="10800" upright="1"/>
                              </wps:wsp>
                              <wps:wsp>
                                <wps:cNvPr id="34" name="直线 35"/>
                                <wps:cNvCnPr/>
                                <wps:spPr>
                                  <a:xfrm>
                                    <a:off x="6998" y="3964"/>
                                    <a:ext cx="0" cy="680"/>
                                  </a:xfrm>
                                  <a:prstGeom prst="line">
                                    <a:avLst/>
                                  </a:prstGeom>
                                  <a:ln w="9525" cap="flat" cmpd="sng">
                                    <a:solidFill>
                                      <a:srgbClr val="000000"/>
                                    </a:solidFill>
                                    <a:prstDash val="solid"/>
                                    <a:headEnd type="none" w="med" len="med"/>
                                    <a:tailEnd type="none" w="med" len="med"/>
                                  </a:ln>
                                </wps:spPr>
                                <wps:bodyPr/>
                              </wps:wsp>
                              <wps:wsp>
                                <wps:cNvPr id="35" name="直线 36"/>
                                <wps:cNvCnPr/>
                                <wps:spPr>
                                  <a:xfrm>
                                    <a:off x="6458" y="4359"/>
                                    <a:ext cx="1080" cy="0"/>
                                  </a:xfrm>
                                  <a:prstGeom prst="line">
                                    <a:avLst/>
                                  </a:prstGeom>
                                  <a:ln w="9525" cap="flat" cmpd="sng">
                                    <a:solidFill>
                                      <a:srgbClr val="000000"/>
                                    </a:solidFill>
                                    <a:prstDash val="solid"/>
                                    <a:headEnd type="none" w="med" len="med"/>
                                    <a:tailEnd type="none" w="med" len="med"/>
                                  </a:ln>
                                </wps:spPr>
                                <wps:bodyPr/>
                              </wps:wsp>
                              <wps:wsp>
                                <wps:cNvPr id="36" name="直线 37"/>
                                <wps:cNvCnPr/>
                                <wps:spPr>
                                  <a:xfrm>
                                    <a:off x="6998" y="3968"/>
                                    <a:ext cx="540" cy="0"/>
                                  </a:xfrm>
                                  <a:prstGeom prst="line">
                                    <a:avLst/>
                                  </a:prstGeom>
                                  <a:ln w="9525" cap="flat" cmpd="sng">
                                    <a:solidFill>
                                      <a:srgbClr val="000000"/>
                                    </a:solidFill>
                                    <a:prstDash val="solid"/>
                                    <a:headEnd type="none" w="med" len="med"/>
                                    <a:tailEnd type="none" w="med" len="med"/>
                                  </a:ln>
                                </wps:spPr>
                                <wps:bodyPr/>
                              </wps:wsp>
                              <wps:wsp>
                                <wps:cNvPr id="37" name="直线 38"/>
                                <wps:cNvCnPr/>
                                <wps:spPr>
                                  <a:xfrm>
                                    <a:off x="6998" y="4666"/>
                                    <a:ext cx="540" cy="0"/>
                                  </a:xfrm>
                                  <a:prstGeom prst="line">
                                    <a:avLst/>
                                  </a:prstGeom>
                                  <a:ln w="9525" cap="flat" cmpd="sng">
                                    <a:solidFill>
                                      <a:srgbClr val="000000"/>
                                    </a:solidFill>
                                    <a:prstDash val="solid"/>
                                    <a:headEnd type="none" w="med" len="med"/>
                                    <a:tailEnd type="none" w="med" len="med"/>
                                  </a:ln>
                                </wps:spPr>
                                <wps:bodyPr/>
                              </wps:wsp>
                              <wps:wsp>
                                <wps:cNvPr id="38" name="直线 39"/>
                                <wps:cNvCnPr/>
                                <wps:spPr>
                                  <a:xfrm>
                                    <a:off x="6998" y="5140"/>
                                    <a:ext cx="0" cy="624"/>
                                  </a:xfrm>
                                  <a:prstGeom prst="line">
                                    <a:avLst/>
                                  </a:prstGeom>
                                  <a:ln w="9525" cap="flat" cmpd="sng">
                                    <a:solidFill>
                                      <a:srgbClr val="000000"/>
                                    </a:solidFill>
                                    <a:prstDash val="solid"/>
                                    <a:headEnd type="none" w="med" len="med"/>
                                    <a:tailEnd type="none" w="med" len="med"/>
                                  </a:ln>
                                </wps:spPr>
                                <wps:bodyPr/>
                              </wps:wsp>
                              <wps:wsp>
                                <wps:cNvPr id="39" name="直线 40"/>
                                <wps:cNvCnPr/>
                                <wps:spPr>
                                  <a:xfrm>
                                    <a:off x="6458" y="5452"/>
                                    <a:ext cx="1080" cy="0"/>
                                  </a:xfrm>
                                  <a:prstGeom prst="line">
                                    <a:avLst/>
                                  </a:prstGeom>
                                  <a:ln w="9525" cap="flat" cmpd="sng">
                                    <a:solidFill>
                                      <a:srgbClr val="000000"/>
                                    </a:solidFill>
                                    <a:prstDash val="solid"/>
                                    <a:headEnd type="none" w="med" len="med"/>
                                    <a:tailEnd type="none" w="med" len="med"/>
                                  </a:ln>
                                </wps:spPr>
                                <wps:bodyPr/>
                              </wps:wsp>
                              <wps:wsp>
                                <wps:cNvPr id="40" name="直线 41"/>
                                <wps:cNvCnPr/>
                                <wps:spPr>
                                  <a:xfrm>
                                    <a:off x="6998" y="5140"/>
                                    <a:ext cx="540" cy="0"/>
                                  </a:xfrm>
                                  <a:prstGeom prst="line">
                                    <a:avLst/>
                                  </a:prstGeom>
                                  <a:ln w="9525" cap="flat" cmpd="sng">
                                    <a:solidFill>
                                      <a:srgbClr val="000000"/>
                                    </a:solidFill>
                                    <a:prstDash val="solid"/>
                                    <a:headEnd type="none" w="med" len="med"/>
                                    <a:tailEnd type="none" w="med" len="med"/>
                                  </a:ln>
                                </wps:spPr>
                                <wps:bodyPr/>
                              </wps:wsp>
                              <wps:wsp>
                                <wps:cNvPr id="41" name="直线 42"/>
                                <wps:cNvCnPr/>
                                <wps:spPr>
                                  <a:xfrm>
                                    <a:off x="6998" y="5764"/>
                                    <a:ext cx="540" cy="0"/>
                                  </a:xfrm>
                                  <a:prstGeom prst="line">
                                    <a:avLst/>
                                  </a:prstGeom>
                                  <a:ln w="9525" cap="flat" cmpd="sng">
                                    <a:solidFill>
                                      <a:srgbClr val="000000"/>
                                    </a:solidFill>
                                    <a:prstDash val="solid"/>
                                    <a:headEnd type="none" w="med" len="med"/>
                                    <a:tailEnd type="none" w="med" len="med"/>
                                  </a:ln>
                                </wps:spPr>
                                <wps:bodyPr/>
                              </wps:wsp>
                              <wps:wsp>
                                <wps:cNvPr id="42" name="任意多边形 43"/>
                                <wps:cNvSpPr/>
                                <wps:spPr>
                                  <a:xfrm>
                                    <a:off x="5013" y="4379"/>
                                    <a:ext cx="6" cy="1060"/>
                                  </a:xfrm>
                                  <a:custGeom>
                                    <a:avLst/>
                                    <a:gdLst/>
                                    <a:ahLst/>
                                    <a:cxnLst/>
                                    <a:rect l="0" t="0" r="0" b="0"/>
                                    <a:pathLst>
                                      <a:path w="6" h="1119">
                                        <a:moveTo>
                                          <a:pt x="0" y="0"/>
                                        </a:moveTo>
                                        <a:lnTo>
                                          <a:pt x="6" y="1119"/>
                                        </a:lnTo>
                                      </a:path>
                                    </a:pathLst>
                                  </a:custGeom>
                                  <a:noFill/>
                                  <a:ln w="9525" cap="flat" cmpd="sng">
                                    <a:solidFill>
                                      <a:srgbClr val="000000"/>
                                    </a:solidFill>
                                    <a:prstDash val="solid"/>
                                    <a:headEnd type="none" w="med" len="med"/>
                                    <a:tailEnd type="none" w="med" len="med"/>
                                  </a:ln>
                                </wps:spPr>
                                <wps:bodyPr upright="1"/>
                              </wps:wsp>
                              <wps:wsp>
                                <wps:cNvPr id="43" name="直线 44"/>
                                <wps:cNvCnPr/>
                                <wps:spPr>
                                  <a:xfrm>
                                    <a:off x="4478" y="4884"/>
                                    <a:ext cx="540" cy="0"/>
                                  </a:xfrm>
                                  <a:prstGeom prst="line">
                                    <a:avLst/>
                                  </a:prstGeom>
                                  <a:ln w="9525" cap="flat" cmpd="sng">
                                    <a:solidFill>
                                      <a:srgbClr val="000000"/>
                                    </a:solidFill>
                                    <a:prstDash val="solid"/>
                                    <a:headEnd type="none" w="med" len="med"/>
                                    <a:tailEnd type="none" w="med" len="med"/>
                                  </a:ln>
                                </wps:spPr>
                                <wps:bodyPr/>
                              </wps:wsp>
                              <wps:wsp>
                                <wps:cNvPr id="44" name="直线 45"/>
                                <wps:cNvCnPr/>
                                <wps:spPr>
                                  <a:xfrm>
                                    <a:off x="5018" y="4362"/>
                                    <a:ext cx="540" cy="0"/>
                                  </a:xfrm>
                                  <a:prstGeom prst="line">
                                    <a:avLst/>
                                  </a:prstGeom>
                                  <a:ln w="9525" cap="flat" cmpd="sng">
                                    <a:solidFill>
                                      <a:srgbClr val="000000"/>
                                    </a:solidFill>
                                    <a:prstDash val="solid"/>
                                    <a:headEnd type="none" w="med" len="med"/>
                                    <a:tailEnd type="none" w="med" len="med"/>
                                  </a:ln>
                                </wps:spPr>
                                <wps:bodyPr/>
                              </wps:wsp>
                              <wps:wsp>
                                <wps:cNvPr id="45" name="直线 46"/>
                                <wps:cNvCnPr/>
                                <wps:spPr>
                                  <a:xfrm>
                                    <a:off x="5018" y="5452"/>
                                    <a:ext cx="540" cy="0"/>
                                  </a:xfrm>
                                  <a:prstGeom prst="line">
                                    <a:avLst/>
                                  </a:prstGeom>
                                  <a:ln w="9525" cap="flat" cmpd="sng">
                                    <a:solidFill>
                                      <a:srgbClr val="000000"/>
                                    </a:solidFill>
                                    <a:prstDash val="solid"/>
                                    <a:headEnd type="none" w="med" len="med"/>
                                    <a:tailEnd type="none" w="med" len="med"/>
                                  </a:ln>
                                </wps:spPr>
                                <wps:bodyPr/>
                              </wps:wsp>
                              <wps:wsp>
                                <wps:cNvPr id="46" name="直线 47"/>
                                <wps:cNvCnPr/>
                                <wps:spPr>
                                  <a:xfrm>
                                    <a:off x="2678" y="4898"/>
                                    <a:ext cx="540" cy="0"/>
                                  </a:xfrm>
                                  <a:prstGeom prst="line">
                                    <a:avLst/>
                                  </a:prstGeom>
                                  <a:ln w="9525" cap="flat" cmpd="sng">
                                    <a:solidFill>
                                      <a:srgbClr val="000000"/>
                                    </a:solidFill>
                                    <a:prstDash val="solid"/>
                                    <a:headEnd type="none" w="med" len="med"/>
                                    <a:tailEnd type="none" w="med" len="med"/>
                                  </a:ln>
                                </wps:spPr>
                                <wps:bodyPr/>
                              </wps:wsp>
                            </wpg:grpSp>
                            <wpg:grpSp>
                              <wpg:cNvPr id="92" name="组合 48"/>
                              <wpg:cNvGrpSpPr/>
                              <wpg:grpSpPr>
                                <a:xfrm>
                                  <a:off x="2815" y="10765"/>
                                  <a:ext cx="6870" cy="3869"/>
                                  <a:chOff x="1778" y="5920"/>
                                  <a:chExt cx="7200" cy="4033"/>
                                </a:xfrm>
                              </wpg:grpSpPr>
                              <wps:wsp>
                                <wps:cNvPr id="48" name="矩形 49"/>
                                <wps:cNvSpPr/>
                                <wps:spPr>
                                  <a:xfrm>
                                    <a:off x="1778" y="5920"/>
                                    <a:ext cx="360" cy="21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地质灾害易程度评价因子</w:t>
                                      </w:r>
                                    </w:p>
                                  </w:txbxContent>
                                </wps:txbx>
                                <wps:bodyPr lIns="54000" tIns="10800" rIns="54000" bIns="10800" upright="1"/>
                              </wps:wsp>
                              <wps:wsp>
                                <wps:cNvPr id="49" name="文本框 50"/>
                                <wps:cNvSpPr txBox="1"/>
                                <wps:spPr>
                                  <a:xfrm>
                                    <a:off x="3218" y="6856"/>
                                    <a:ext cx="126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诱发因素</w:t>
                                      </w:r>
                                    </w:p>
                                  </w:txbxContent>
                                </wps:txbx>
                                <wps:bodyPr lIns="54000" tIns="10800" rIns="54000" bIns="10800" upright="1"/>
                              </wps:wsp>
                              <wps:wsp>
                                <wps:cNvPr id="50" name="文本框 51"/>
                                <wps:cNvSpPr txBox="1"/>
                                <wps:spPr>
                                  <a:xfrm>
                                    <a:off x="3218" y="8884"/>
                                    <a:ext cx="126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危害程度</w:t>
                                      </w:r>
                                    </w:p>
                                  </w:txbxContent>
                                </wps:txbx>
                                <wps:bodyPr lIns="18000" tIns="10800" rIns="18000" bIns="10800" upright="1"/>
                              </wps:wsp>
                              <wps:wsp>
                                <wps:cNvPr id="51" name="文本框 52"/>
                                <wps:cNvSpPr txBox="1"/>
                                <wps:spPr>
                                  <a:xfrm>
                                    <a:off x="5558" y="9352"/>
                                    <a:ext cx="90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灾害危害</w:t>
                                      </w:r>
                                    </w:p>
                                  </w:txbxContent>
                                </wps:txbx>
                                <wps:bodyPr lIns="18000" tIns="10800" rIns="18000" bIns="10800" upright="1"/>
                              </wps:wsp>
                              <wps:wsp>
                                <wps:cNvPr id="52" name="文本框 53"/>
                                <wps:cNvSpPr txBox="1"/>
                                <wps:spPr>
                                  <a:xfrm>
                                    <a:off x="5558" y="7480"/>
                                    <a:ext cx="90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人为活动</w:t>
                                      </w:r>
                                    </w:p>
                                  </w:txbxContent>
                                </wps:txbx>
                                <wps:bodyPr lIns="18000" tIns="10800" rIns="18000" bIns="10800" upright="1"/>
                              </wps:wsp>
                              <wps:wsp>
                                <wps:cNvPr id="53" name="文本框 54"/>
                                <wps:cNvSpPr txBox="1"/>
                                <wps:spPr>
                                  <a:xfrm>
                                    <a:off x="5558" y="6388"/>
                                    <a:ext cx="900" cy="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气候条件</w:t>
                                      </w:r>
                                    </w:p>
                                  </w:txbxContent>
                                </wps:txbx>
                                <wps:bodyPr lIns="18000" tIns="10800" rIns="18000" bIns="10800" upright="1"/>
                              </wps:wsp>
                              <wps:wsp>
                                <wps:cNvPr id="54" name="文本框 55"/>
                                <wps:cNvSpPr txBox="1"/>
                                <wps:spPr>
                                  <a:xfrm>
                                    <a:off x="5558" y="8416"/>
                                    <a:ext cx="90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灾害特点</w:t>
                                      </w:r>
                                    </w:p>
                                  </w:txbxContent>
                                </wps:txbx>
                                <wps:bodyPr lIns="18000" tIns="10800" rIns="18000" bIns="10800" upright="1"/>
                              </wps:wsp>
                              <wps:wsp>
                                <wps:cNvPr id="55" name="文本框 56"/>
                                <wps:cNvSpPr txBox="1"/>
                                <wps:spPr>
                                  <a:xfrm>
                                    <a:off x="7538" y="6076"/>
                                    <a:ext cx="1440" cy="2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连续日降雨量</w:t>
                                      </w:r>
                                    </w:p>
                                  </w:txbxContent>
                                </wps:txbx>
                                <wps:bodyPr lIns="54000" tIns="10800" rIns="54000" bIns="10800" upright="1"/>
                              </wps:wsp>
                              <wps:wsp>
                                <wps:cNvPr id="56" name="文本框 57"/>
                                <wps:cNvSpPr txBox="1"/>
                                <wps:spPr>
                                  <a:xfrm>
                                    <a:off x="7538" y="6388"/>
                                    <a:ext cx="1440" cy="2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月最大降雨量</w:t>
                                      </w:r>
                                    </w:p>
                                  </w:txbxContent>
                                </wps:txbx>
                                <wps:bodyPr lIns="54000" tIns="10800" rIns="54000" bIns="10800" upright="1"/>
                              </wps:wsp>
                              <wps:wsp>
                                <wps:cNvPr id="57" name="文本框 58"/>
                                <wps:cNvSpPr txBox="1"/>
                                <wps:spPr>
                                  <a:xfrm>
                                    <a:off x="7538" y="6700"/>
                                    <a:ext cx="1440" cy="2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日最大降雨量</w:t>
                                      </w:r>
                                    </w:p>
                                  </w:txbxContent>
                                </wps:txbx>
                                <wps:bodyPr lIns="54000" tIns="10800" rIns="54000" bIns="10800" upright="1"/>
                              </wps:wsp>
                              <wps:wsp>
                                <wps:cNvPr id="58" name="文本框 59"/>
                                <wps:cNvSpPr txBox="1"/>
                                <wps:spPr>
                                  <a:xfrm>
                                    <a:off x="7538" y="7480"/>
                                    <a:ext cx="1440" cy="2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陡坡垦植</w:t>
                                      </w:r>
                                    </w:p>
                                  </w:txbxContent>
                                </wps:txbx>
                                <wps:bodyPr lIns="54000" tIns="10800" rIns="54000" bIns="10800" upright="1"/>
                              </wps:wsp>
                              <wps:wsp>
                                <wps:cNvPr id="59" name="文本框 60"/>
                                <wps:cNvSpPr txBox="1"/>
                                <wps:spPr>
                                  <a:xfrm>
                                    <a:off x="7538" y="7168"/>
                                    <a:ext cx="1440" cy="2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工程活动削坡</w:t>
                                      </w:r>
                                    </w:p>
                                  </w:txbxContent>
                                </wps:txbx>
                                <wps:bodyPr lIns="54000" tIns="10800" rIns="54000" bIns="10800" upright="1"/>
                              </wps:wsp>
                              <wps:wsp>
                                <wps:cNvPr id="60" name="文本框 61"/>
                                <wps:cNvSpPr txBox="1"/>
                                <wps:spPr>
                                  <a:xfrm>
                                    <a:off x="7538" y="8260"/>
                                    <a:ext cx="1440" cy="2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灾害密度</w:t>
                                      </w:r>
                                    </w:p>
                                  </w:txbxContent>
                                </wps:txbx>
                                <wps:bodyPr lIns="54000" tIns="10800" rIns="54000" bIns="10800" upright="1"/>
                              </wps:wsp>
                              <wps:wsp>
                                <wps:cNvPr id="61" name="文本框 62"/>
                                <wps:cNvSpPr txBox="1"/>
                                <wps:spPr>
                                  <a:xfrm>
                                    <a:off x="7538" y="8572"/>
                                    <a:ext cx="1440" cy="2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灾害规模</w:t>
                                      </w:r>
                                    </w:p>
                                  </w:txbxContent>
                                </wps:txbx>
                                <wps:bodyPr lIns="54000" tIns="10800" rIns="54000" bIns="10800" upright="1"/>
                              </wps:wsp>
                              <wps:wsp>
                                <wps:cNvPr id="62" name="文本框 63"/>
                                <wps:cNvSpPr txBox="1"/>
                                <wps:spPr>
                                  <a:xfrm>
                                    <a:off x="7538" y="9040"/>
                                    <a:ext cx="1440" cy="2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危害程度</w:t>
                                      </w:r>
                                    </w:p>
                                  </w:txbxContent>
                                </wps:txbx>
                                <wps:bodyPr lIns="54000" tIns="10800" rIns="54000" bIns="10800" upright="1"/>
                              </wps:wsp>
                              <wps:wsp>
                                <wps:cNvPr id="63" name="文本框 64"/>
                                <wps:cNvSpPr txBox="1"/>
                                <wps:spPr>
                                  <a:xfrm>
                                    <a:off x="7538" y="9352"/>
                                    <a:ext cx="1440" cy="2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人口密度</w:t>
                                      </w:r>
                                    </w:p>
                                  </w:txbxContent>
                                </wps:txbx>
                                <wps:bodyPr lIns="54000" tIns="10800" rIns="54000" bIns="10800" upright="1"/>
                              </wps:wsp>
                              <wps:wsp>
                                <wps:cNvPr id="64" name="文本框 65"/>
                                <wps:cNvSpPr txBox="1"/>
                                <wps:spPr>
                                  <a:xfrm>
                                    <a:off x="7538" y="9664"/>
                                    <a:ext cx="1440" cy="2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潜在威胁</w:t>
                                      </w:r>
                                    </w:p>
                                  </w:txbxContent>
                                </wps:txbx>
                                <wps:bodyPr lIns="54000" tIns="10800" rIns="54000" bIns="10800" upright="1"/>
                              </wps:wsp>
                              <wps:wsp>
                                <wps:cNvPr id="65" name="直线 66"/>
                                <wps:cNvCnPr/>
                                <wps:spPr>
                                  <a:xfrm>
                                    <a:off x="6998" y="6232"/>
                                    <a:ext cx="0" cy="624"/>
                                  </a:xfrm>
                                  <a:prstGeom prst="line">
                                    <a:avLst/>
                                  </a:prstGeom>
                                  <a:ln w="9525" cap="flat" cmpd="sng">
                                    <a:solidFill>
                                      <a:srgbClr val="000000"/>
                                    </a:solidFill>
                                    <a:prstDash val="solid"/>
                                    <a:headEnd type="none" w="med" len="med"/>
                                    <a:tailEnd type="none" w="med" len="med"/>
                                  </a:ln>
                                </wps:spPr>
                                <wps:bodyPr/>
                              </wps:wsp>
                              <wps:wsp>
                                <wps:cNvPr id="66" name="直线 67"/>
                                <wps:cNvCnPr/>
                                <wps:spPr>
                                  <a:xfrm>
                                    <a:off x="6458" y="6544"/>
                                    <a:ext cx="1080" cy="0"/>
                                  </a:xfrm>
                                  <a:prstGeom prst="line">
                                    <a:avLst/>
                                  </a:prstGeom>
                                  <a:ln w="9525" cap="flat" cmpd="sng">
                                    <a:solidFill>
                                      <a:srgbClr val="000000"/>
                                    </a:solidFill>
                                    <a:prstDash val="solid"/>
                                    <a:headEnd type="none" w="med" len="med"/>
                                    <a:tailEnd type="none" w="med" len="med"/>
                                  </a:ln>
                                </wps:spPr>
                                <wps:bodyPr/>
                              </wps:wsp>
                              <wps:wsp>
                                <wps:cNvPr id="67" name="直线 68"/>
                                <wps:cNvCnPr/>
                                <wps:spPr>
                                  <a:xfrm>
                                    <a:off x="6998" y="6232"/>
                                    <a:ext cx="540" cy="0"/>
                                  </a:xfrm>
                                  <a:prstGeom prst="line">
                                    <a:avLst/>
                                  </a:prstGeom>
                                  <a:ln w="9525" cap="flat" cmpd="sng">
                                    <a:solidFill>
                                      <a:srgbClr val="000000"/>
                                    </a:solidFill>
                                    <a:prstDash val="solid"/>
                                    <a:headEnd type="none" w="med" len="med"/>
                                    <a:tailEnd type="none" w="med" len="med"/>
                                  </a:ln>
                                </wps:spPr>
                                <wps:bodyPr/>
                              </wps:wsp>
                              <wps:wsp>
                                <wps:cNvPr id="68" name="直线 69"/>
                                <wps:cNvCnPr/>
                                <wps:spPr>
                                  <a:xfrm>
                                    <a:off x="6998" y="6856"/>
                                    <a:ext cx="540" cy="0"/>
                                  </a:xfrm>
                                  <a:prstGeom prst="line">
                                    <a:avLst/>
                                  </a:prstGeom>
                                  <a:ln w="9525" cap="flat" cmpd="sng">
                                    <a:solidFill>
                                      <a:srgbClr val="000000"/>
                                    </a:solidFill>
                                    <a:prstDash val="solid"/>
                                    <a:headEnd type="none" w="med" len="med"/>
                                    <a:tailEnd type="none" w="med" len="med"/>
                                  </a:ln>
                                </wps:spPr>
                                <wps:bodyPr/>
                              </wps:wsp>
                              <wps:wsp>
                                <wps:cNvPr id="69" name="直线 70"/>
                                <wps:cNvCnPr/>
                                <wps:spPr>
                                  <a:xfrm>
                                    <a:off x="6998" y="7324"/>
                                    <a:ext cx="540" cy="0"/>
                                  </a:xfrm>
                                  <a:prstGeom prst="line">
                                    <a:avLst/>
                                  </a:prstGeom>
                                  <a:ln w="9525" cap="flat" cmpd="sng">
                                    <a:solidFill>
                                      <a:srgbClr val="000000"/>
                                    </a:solidFill>
                                    <a:prstDash val="solid"/>
                                    <a:headEnd type="none" w="med" len="med"/>
                                    <a:tailEnd type="none" w="med" len="med"/>
                                  </a:ln>
                                </wps:spPr>
                                <wps:bodyPr/>
                              </wps:wsp>
                              <wps:wsp>
                                <wps:cNvPr id="70" name="直线 71"/>
                                <wps:cNvCnPr/>
                                <wps:spPr>
                                  <a:xfrm>
                                    <a:off x="6998" y="7948"/>
                                    <a:ext cx="540" cy="0"/>
                                  </a:xfrm>
                                  <a:prstGeom prst="line">
                                    <a:avLst/>
                                  </a:prstGeom>
                                  <a:ln w="9525" cap="flat" cmpd="sng">
                                    <a:solidFill>
                                      <a:srgbClr val="000000"/>
                                    </a:solidFill>
                                    <a:prstDash val="solid"/>
                                    <a:headEnd type="none" w="med" len="med"/>
                                    <a:tailEnd type="none" w="med" len="med"/>
                                  </a:ln>
                                </wps:spPr>
                                <wps:bodyPr/>
                              </wps:wsp>
                              <wps:wsp>
                                <wps:cNvPr id="71" name="直线 72"/>
                                <wps:cNvCnPr/>
                                <wps:spPr>
                                  <a:xfrm>
                                    <a:off x="6998" y="8416"/>
                                    <a:ext cx="0" cy="312"/>
                                  </a:xfrm>
                                  <a:prstGeom prst="line">
                                    <a:avLst/>
                                  </a:prstGeom>
                                  <a:ln w="9525" cap="flat" cmpd="sng">
                                    <a:solidFill>
                                      <a:srgbClr val="000000"/>
                                    </a:solidFill>
                                    <a:prstDash val="solid"/>
                                    <a:headEnd type="none" w="med" len="med"/>
                                    <a:tailEnd type="none" w="med" len="med"/>
                                  </a:ln>
                                </wps:spPr>
                                <wps:bodyPr/>
                              </wps:wsp>
                              <wps:wsp>
                                <wps:cNvPr id="72" name="直线 73"/>
                                <wps:cNvCnPr/>
                                <wps:spPr>
                                  <a:xfrm>
                                    <a:off x="6998" y="8416"/>
                                    <a:ext cx="540" cy="0"/>
                                  </a:xfrm>
                                  <a:prstGeom prst="line">
                                    <a:avLst/>
                                  </a:prstGeom>
                                  <a:ln w="9525" cap="flat" cmpd="sng">
                                    <a:solidFill>
                                      <a:srgbClr val="000000"/>
                                    </a:solidFill>
                                    <a:prstDash val="solid"/>
                                    <a:headEnd type="none" w="med" len="med"/>
                                    <a:tailEnd type="none" w="med" len="med"/>
                                  </a:ln>
                                </wps:spPr>
                                <wps:bodyPr/>
                              </wps:wsp>
                              <wps:wsp>
                                <wps:cNvPr id="73" name="直线 74"/>
                                <wps:cNvCnPr/>
                                <wps:spPr>
                                  <a:xfrm>
                                    <a:off x="6998" y="8728"/>
                                    <a:ext cx="540" cy="0"/>
                                  </a:xfrm>
                                  <a:prstGeom prst="line">
                                    <a:avLst/>
                                  </a:prstGeom>
                                  <a:ln w="9525" cap="flat" cmpd="sng">
                                    <a:solidFill>
                                      <a:srgbClr val="000000"/>
                                    </a:solidFill>
                                    <a:prstDash val="solid"/>
                                    <a:headEnd type="none" w="med" len="med"/>
                                    <a:tailEnd type="none" w="med" len="med"/>
                                  </a:ln>
                                </wps:spPr>
                                <wps:bodyPr/>
                              </wps:wsp>
                              <wps:wsp>
                                <wps:cNvPr id="74" name="直线 75"/>
                                <wps:cNvCnPr/>
                                <wps:spPr>
                                  <a:xfrm>
                                    <a:off x="6458" y="8572"/>
                                    <a:ext cx="540" cy="0"/>
                                  </a:xfrm>
                                  <a:prstGeom prst="line">
                                    <a:avLst/>
                                  </a:prstGeom>
                                  <a:ln w="9525" cap="flat" cmpd="sng">
                                    <a:solidFill>
                                      <a:srgbClr val="000000"/>
                                    </a:solidFill>
                                    <a:prstDash val="solid"/>
                                    <a:headEnd type="none" w="med" len="med"/>
                                    <a:tailEnd type="none" w="med" len="med"/>
                                  </a:ln>
                                </wps:spPr>
                                <wps:bodyPr/>
                              </wps:wsp>
                              <wps:wsp>
                                <wps:cNvPr id="75" name="直线 76"/>
                                <wps:cNvCnPr/>
                                <wps:spPr>
                                  <a:xfrm>
                                    <a:off x="6998" y="9196"/>
                                    <a:ext cx="0" cy="624"/>
                                  </a:xfrm>
                                  <a:prstGeom prst="line">
                                    <a:avLst/>
                                  </a:prstGeom>
                                  <a:ln w="9525" cap="flat" cmpd="sng">
                                    <a:solidFill>
                                      <a:srgbClr val="000000"/>
                                    </a:solidFill>
                                    <a:prstDash val="solid"/>
                                    <a:headEnd type="none" w="med" len="med"/>
                                    <a:tailEnd type="none" w="med" len="med"/>
                                  </a:ln>
                                </wps:spPr>
                                <wps:bodyPr/>
                              </wps:wsp>
                              <wps:wsp>
                                <wps:cNvPr id="76" name="直线 77"/>
                                <wps:cNvCnPr/>
                                <wps:spPr>
                                  <a:xfrm>
                                    <a:off x="6458" y="9508"/>
                                    <a:ext cx="1080" cy="0"/>
                                  </a:xfrm>
                                  <a:prstGeom prst="line">
                                    <a:avLst/>
                                  </a:prstGeom>
                                  <a:ln w="9525" cap="flat" cmpd="sng">
                                    <a:solidFill>
                                      <a:srgbClr val="000000"/>
                                    </a:solidFill>
                                    <a:prstDash val="solid"/>
                                    <a:headEnd type="none" w="med" len="med"/>
                                    <a:tailEnd type="none" w="med" len="med"/>
                                  </a:ln>
                                </wps:spPr>
                                <wps:bodyPr/>
                              </wps:wsp>
                              <wps:wsp>
                                <wps:cNvPr id="77" name="直线 78"/>
                                <wps:cNvCnPr/>
                                <wps:spPr>
                                  <a:xfrm>
                                    <a:off x="6998" y="9196"/>
                                    <a:ext cx="540" cy="0"/>
                                  </a:xfrm>
                                  <a:prstGeom prst="line">
                                    <a:avLst/>
                                  </a:prstGeom>
                                  <a:ln w="9525" cap="flat" cmpd="sng">
                                    <a:solidFill>
                                      <a:srgbClr val="000000"/>
                                    </a:solidFill>
                                    <a:prstDash val="solid"/>
                                    <a:headEnd type="none" w="med" len="med"/>
                                    <a:tailEnd type="none" w="med" len="med"/>
                                  </a:ln>
                                </wps:spPr>
                                <wps:bodyPr/>
                              </wps:wsp>
                              <wps:wsp>
                                <wps:cNvPr id="78" name="直线 79"/>
                                <wps:cNvCnPr/>
                                <wps:spPr>
                                  <a:xfrm>
                                    <a:off x="6998" y="9820"/>
                                    <a:ext cx="540" cy="0"/>
                                  </a:xfrm>
                                  <a:prstGeom prst="line">
                                    <a:avLst/>
                                  </a:prstGeom>
                                  <a:ln w="9525" cap="flat" cmpd="sng">
                                    <a:solidFill>
                                      <a:srgbClr val="000000"/>
                                    </a:solidFill>
                                    <a:prstDash val="solid"/>
                                    <a:headEnd type="none" w="med" len="med"/>
                                    <a:tailEnd type="none" w="med" len="med"/>
                                  </a:ln>
                                </wps:spPr>
                                <wps:bodyPr/>
                              </wps:wsp>
                              <wps:wsp>
                                <wps:cNvPr id="79" name="直线 80"/>
                                <wps:cNvCnPr/>
                                <wps:spPr>
                                  <a:xfrm>
                                    <a:off x="5018" y="6544"/>
                                    <a:ext cx="0" cy="1092"/>
                                  </a:xfrm>
                                  <a:prstGeom prst="line">
                                    <a:avLst/>
                                  </a:prstGeom>
                                  <a:ln w="9525" cap="flat" cmpd="sng">
                                    <a:solidFill>
                                      <a:srgbClr val="000000"/>
                                    </a:solidFill>
                                    <a:prstDash val="solid"/>
                                    <a:headEnd type="none" w="med" len="med"/>
                                    <a:tailEnd type="none" w="med" len="med"/>
                                  </a:ln>
                                </wps:spPr>
                                <wps:bodyPr/>
                              </wps:wsp>
                              <wps:wsp>
                                <wps:cNvPr id="80" name="直线 81"/>
                                <wps:cNvCnPr/>
                                <wps:spPr>
                                  <a:xfrm>
                                    <a:off x="5018" y="6544"/>
                                    <a:ext cx="540" cy="0"/>
                                  </a:xfrm>
                                  <a:prstGeom prst="line">
                                    <a:avLst/>
                                  </a:prstGeom>
                                  <a:ln w="9525" cap="flat" cmpd="sng">
                                    <a:solidFill>
                                      <a:srgbClr val="000000"/>
                                    </a:solidFill>
                                    <a:prstDash val="solid"/>
                                    <a:headEnd type="none" w="med" len="med"/>
                                    <a:tailEnd type="none" w="med" len="med"/>
                                  </a:ln>
                                </wps:spPr>
                                <wps:bodyPr/>
                              </wps:wsp>
                              <wps:wsp>
                                <wps:cNvPr id="81" name="直线 82"/>
                                <wps:cNvCnPr/>
                                <wps:spPr>
                                  <a:xfrm>
                                    <a:off x="5018" y="7636"/>
                                    <a:ext cx="540" cy="0"/>
                                  </a:xfrm>
                                  <a:prstGeom prst="line">
                                    <a:avLst/>
                                  </a:prstGeom>
                                  <a:ln w="9525" cap="flat" cmpd="sng">
                                    <a:solidFill>
                                      <a:srgbClr val="000000"/>
                                    </a:solidFill>
                                    <a:prstDash val="solid"/>
                                    <a:headEnd type="none" w="med" len="med"/>
                                    <a:tailEnd type="none" w="med" len="med"/>
                                  </a:ln>
                                </wps:spPr>
                                <wps:bodyPr/>
                              </wps:wsp>
                              <wps:wsp>
                                <wps:cNvPr id="82" name="直线 83"/>
                                <wps:cNvCnPr/>
                                <wps:spPr>
                                  <a:xfrm>
                                    <a:off x="4478" y="7012"/>
                                    <a:ext cx="540" cy="0"/>
                                  </a:xfrm>
                                  <a:prstGeom prst="line">
                                    <a:avLst/>
                                  </a:prstGeom>
                                  <a:ln w="9525" cap="flat" cmpd="sng">
                                    <a:solidFill>
                                      <a:srgbClr val="000000"/>
                                    </a:solidFill>
                                    <a:prstDash val="solid"/>
                                    <a:headEnd type="none" w="med" len="med"/>
                                    <a:tailEnd type="none" w="med" len="med"/>
                                  </a:ln>
                                </wps:spPr>
                                <wps:bodyPr/>
                              </wps:wsp>
                              <wps:wsp>
                                <wps:cNvPr id="83" name="直线 84"/>
                                <wps:cNvCnPr/>
                                <wps:spPr>
                                  <a:xfrm>
                                    <a:off x="5018" y="8572"/>
                                    <a:ext cx="0" cy="936"/>
                                  </a:xfrm>
                                  <a:prstGeom prst="line">
                                    <a:avLst/>
                                  </a:prstGeom>
                                  <a:ln w="9525" cap="flat" cmpd="sng">
                                    <a:solidFill>
                                      <a:srgbClr val="000000"/>
                                    </a:solidFill>
                                    <a:prstDash val="solid"/>
                                    <a:headEnd type="none" w="med" len="med"/>
                                    <a:tailEnd type="none" w="med" len="med"/>
                                  </a:ln>
                                </wps:spPr>
                                <wps:bodyPr/>
                              </wps:wsp>
                              <wps:wsp>
                                <wps:cNvPr id="84" name="直线 85"/>
                                <wps:cNvCnPr/>
                                <wps:spPr>
                                  <a:xfrm>
                                    <a:off x="5018" y="8572"/>
                                    <a:ext cx="540" cy="0"/>
                                  </a:xfrm>
                                  <a:prstGeom prst="line">
                                    <a:avLst/>
                                  </a:prstGeom>
                                  <a:ln w="9525" cap="flat" cmpd="sng">
                                    <a:solidFill>
                                      <a:srgbClr val="000000"/>
                                    </a:solidFill>
                                    <a:prstDash val="solid"/>
                                    <a:headEnd type="none" w="med" len="med"/>
                                    <a:tailEnd type="none" w="med" len="med"/>
                                  </a:ln>
                                </wps:spPr>
                                <wps:bodyPr/>
                              </wps:wsp>
                              <wps:wsp>
                                <wps:cNvPr id="85" name="直线 86"/>
                                <wps:cNvCnPr/>
                                <wps:spPr>
                                  <a:xfrm>
                                    <a:off x="5018" y="9508"/>
                                    <a:ext cx="540" cy="0"/>
                                  </a:xfrm>
                                  <a:prstGeom prst="line">
                                    <a:avLst/>
                                  </a:prstGeom>
                                  <a:ln w="9525" cap="flat" cmpd="sng">
                                    <a:solidFill>
                                      <a:srgbClr val="000000"/>
                                    </a:solidFill>
                                    <a:prstDash val="solid"/>
                                    <a:headEnd type="none" w="med" len="med"/>
                                    <a:tailEnd type="none" w="med" len="med"/>
                                  </a:ln>
                                </wps:spPr>
                                <wps:bodyPr/>
                              </wps:wsp>
                              <wps:wsp>
                                <wps:cNvPr id="86" name="直线 87"/>
                                <wps:cNvCnPr/>
                                <wps:spPr>
                                  <a:xfrm>
                                    <a:off x="4478" y="9040"/>
                                    <a:ext cx="540" cy="0"/>
                                  </a:xfrm>
                                  <a:prstGeom prst="line">
                                    <a:avLst/>
                                  </a:prstGeom>
                                  <a:ln w="9525" cap="flat" cmpd="sng">
                                    <a:solidFill>
                                      <a:srgbClr val="000000"/>
                                    </a:solidFill>
                                    <a:prstDash val="solid"/>
                                    <a:headEnd type="none" w="med" len="med"/>
                                    <a:tailEnd type="none" w="med" len="med"/>
                                  </a:ln>
                                </wps:spPr>
                                <wps:bodyPr/>
                              </wps:wsp>
                              <wps:wsp>
                                <wps:cNvPr id="87" name="直线 88"/>
                                <wps:cNvCnPr/>
                                <wps:spPr>
                                  <a:xfrm>
                                    <a:off x="2678" y="9040"/>
                                    <a:ext cx="540" cy="0"/>
                                  </a:xfrm>
                                  <a:prstGeom prst="line">
                                    <a:avLst/>
                                  </a:prstGeom>
                                  <a:ln w="9525" cap="flat" cmpd="sng">
                                    <a:solidFill>
                                      <a:srgbClr val="000000"/>
                                    </a:solidFill>
                                    <a:prstDash val="solid"/>
                                    <a:headEnd type="none" w="med" len="med"/>
                                    <a:tailEnd type="none" w="med" len="med"/>
                                  </a:ln>
                                </wps:spPr>
                                <wps:bodyPr/>
                              </wps:wsp>
                              <wps:wsp>
                                <wps:cNvPr id="88" name="直线 89"/>
                                <wps:cNvCnPr/>
                                <wps:spPr>
                                  <a:xfrm>
                                    <a:off x="2138" y="7012"/>
                                    <a:ext cx="1080" cy="0"/>
                                  </a:xfrm>
                                  <a:prstGeom prst="line">
                                    <a:avLst/>
                                  </a:prstGeom>
                                  <a:ln w="9525" cap="flat" cmpd="sng">
                                    <a:solidFill>
                                      <a:srgbClr val="000000"/>
                                    </a:solidFill>
                                    <a:prstDash val="solid"/>
                                    <a:headEnd type="none" w="med" len="med"/>
                                    <a:tailEnd type="none" w="med" len="med"/>
                                  </a:ln>
                                </wps:spPr>
                                <wps:bodyPr/>
                              </wps:wsp>
                              <wps:wsp>
                                <wps:cNvPr id="89" name="文本框 90"/>
                                <wps:cNvSpPr txBox="1"/>
                                <wps:spPr>
                                  <a:xfrm>
                                    <a:off x="7538" y="7792"/>
                                    <a:ext cx="1440" cy="2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植被发育程度</w:t>
                                      </w:r>
                                    </w:p>
                                  </w:txbxContent>
                                </wps:txbx>
                                <wps:bodyPr lIns="54000" tIns="10800" rIns="54000" bIns="10800" upright="1"/>
                              </wps:wsp>
                              <wps:wsp>
                                <wps:cNvPr id="90" name="直线 91"/>
                                <wps:cNvCnPr/>
                                <wps:spPr>
                                  <a:xfrm>
                                    <a:off x="6998" y="7324"/>
                                    <a:ext cx="0" cy="624"/>
                                  </a:xfrm>
                                  <a:prstGeom prst="line">
                                    <a:avLst/>
                                  </a:prstGeom>
                                  <a:ln w="9525" cap="flat" cmpd="sng">
                                    <a:solidFill>
                                      <a:srgbClr val="000000"/>
                                    </a:solidFill>
                                    <a:prstDash val="solid"/>
                                    <a:headEnd type="none" w="med" len="med"/>
                                    <a:tailEnd type="none" w="med" len="med"/>
                                  </a:ln>
                                </wps:spPr>
                                <wps:bodyPr/>
                              </wps:wsp>
                              <wps:wsp>
                                <wps:cNvPr id="91" name="直线 92"/>
                                <wps:cNvCnPr/>
                                <wps:spPr>
                                  <a:xfrm flipH="1">
                                    <a:off x="6458" y="7636"/>
                                    <a:ext cx="1083" cy="0"/>
                                  </a:xfrm>
                                  <a:prstGeom prst="line">
                                    <a:avLst/>
                                  </a:prstGeom>
                                  <a:ln w="9525" cap="flat" cmpd="sng">
                                    <a:solidFill>
                                      <a:srgbClr val="000000"/>
                                    </a:solidFill>
                                    <a:prstDash val="solid"/>
                                    <a:headEnd type="none" w="med" len="med"/>
                                    <a:tailEnd type="none" w="med" len="med"/>
                                  </a:ln>
                                </wps:spPr>
                                <wps:bodyPr/>
                              </wps:wsp>
                            </wpg:grpSp>
                          </wpg:grpSp>
                        </wpg:grpSp>
                      </wpg:grpSp>
                    </wpg:wgp>
                  </a:graphicData>
                </a:graphic>
              </wp:inline>
            </w:drawing>
          </mc:Choice>
          <mc:Fallback>
            <w:pict>
              <v:group id="组合 19" o:spid="_x0000_s1026" o:spt="203" style="height:473.6pt;width:427.5pt;" coordorigin="2575,8444" coordsize="6870,6432" o:gfxdata="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rVFxdYA&#10;AAAFAQAADwAAAAAAAAABACAAAAAiAAAAZHJzL2Rvd25yZXYueG1sUEsBAhQAFAAAAAgAh07iQMyb&#10;EDvtCwAAmJ8AAA4AAAAAAAAAAQAgAAAAJQEAAGRycy9lMm9Eb2MueG1sUEsFBgAAAAAGAAYAWQEA&#10;AIQPAAAAAA==&#10;">
                <o:lock v:ext="edit" aspectratio="f"/>
                <v:shape id="文本框 20" o:spid="_x0000_s1026" o:spt="202" type="#_x0000_t202" style="position:absolute;left:3970;top:14400;height:476;width:4344;"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1"/>
                          <w:spacing w:line="240" w:lineRule="auto"/>
                          <w:rPr>
                            <w:rFonts w:ascii="仿宋" w:hAnsi="仿宋" w:eastAsia="仿宋" w:cs="仿宋"/>
                            <w:bCs/>
                            <w:sz w:val="21"/>
                            <w:szCs w:val="21"/>
                          </w:rPr>
                        </w:pPr>
                        <w:r>
                          <w:rPr>
                            <w:rFonts w:hint="eastAsia" w:ascii="仿宋" w:hAnsi="仿宋" w:eastAsia="仿宋" w:cs="仿宋"/>
                            <w:bCs/>
                            <w:sz w:val="21"/>
                            <w:szCs w:val="21"/>
                          </w:rPr>
                          <w:t>图4-2  易发分区评价因子示意图</w:t>
                        </w:r>
                      </w:p>
                    </w:txbxContent>
                  </v:textbox>
                </v:shape>
                <v:group id="组合 21" o:spid="_x0000_s1026" o:spt="203" style="position:absolute;left:2575;top:8444;height:5891;width:6870;" coordorigin="2815,8743" coordsize="6870,5891"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文本框 22" o:spid="_x0000_s1026" o:spt="202" type="#_x0000_t202" style="position:absolute;left:6422;top:9144;height:294;width:858;" fillcolor="#FFFFFF" filled="t" stroked="t" coordsize="21600,21600" o:gfxdata="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2mh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地形地貌</w:t>
                          </w:r>
                        </w:p>
                      </w:txbxContent>
                    </v:textbox>
                  </v:shape>
                  <v:group id="组合 23" o:spid="_x0000_s1026" o:spt="203" style="position:absolute;left:2815;top:8743;height:5891;width:6870;" coordorigin="2815,8743" coordsize="6870,5891"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任意多边形 24" o:spid="_x0000_s1026" o:spt="100" style="position:absolute;left:3672;top:9801;height:3948;width:2;" filled="f" stroked="t" coordsize="3,4149" o:gfxdata="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m1L4A&#10;AADbAAAADwAAAAAAAAABACAAAAAiAAAAZHJzL2Rvd25yZXYueG1sUEsBAhQAFAAAAAgAh07iQDMv&#10;BZ47AAAAOQAAABAAAAAAAAAAAQAgAAAADQEAAGRycy9zaGFwZXhtbC54bWxQSwUGAAAAAAYABgBb&#10;AQAAtwMAAAAA&#10;" path="m0,0l3,4149e">
                      <v:fill on="f" focussize="0,0"/>
                      <v:stroke color="#000000" joinstyle="round"/>
                      <v:imagedata o:title=""/>
                      <o:lock v:ext="edit" aspectratio="f"/>
                    </v:shape>
                    <v:group id="组合 25" o:spid="_x0000_s1026" o:spt="203" style="position:absolute;left:2815;top:8743;height:5891;width:6870;" coordorigin="2815,8743" coordsize="6870,5891"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group id="组合 26" o:spid="_x0000_s1026" o:spt="203" style="position:absolute;left:3674;top:8743;height:2000;width:6011;" coordorigin="2678,3812" coordsize="6300,2085"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文本框 27" o:spid="_x0000_s1026" o:spt="202" type="#_x0000_t202" style="position:absolute;left:3218;top:4763;height:367;width:1260;" fillcolor="#FFFFFF" filled="t" stroked="t" coordsize="21600,21600" o:gfxdata="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451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3mm,0.5mm,0.3mm">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地质环境条件</w:t>
                                </w:r>
                              </w:p>
                            </w:txbxContent>
                          </v:textbox>
                        </v:shape>
                        <v:shape id="文本框 28" o:spid="_x0000_s1026" o:spt="202" type="#_x0000_t202" style="position:absolute;left:5558;top:5296;flip:y;height:306;width:900;" fillcolor="#FFFFFF" filled="t" stroked="t" coordsize="21600,21600" o:gfxdata="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lTB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地质构造</w:t>
                                </w:r>
                              </w:p>
                            </w:txbxContent>
                          </v:textbox>
                        </v:shape>
                        <v:shape id="文本框 29" o:spid="_x0000_s1026" o:spt="202" type="#_x0000_t202" style="position:absolute;left:7538;top:3812;height:306;width:1440;" fillcolor="#FFFFFF" filled="t" stroked="t" coordsize="21600,21600" o:gfxdata="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Csg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切割深度</w:t>
                                </w:r>
                              </w:p>
                            </w:txbxContent>
                          </v:textbox>
                        </v:shape>
                        <v:shape id="文本框 30" o:spid="_x0000_s1026" o:spt="202" type="#_x0000_t202" style="position:absolute;left:7538;top:4166;height:306;width:1440;" fillcolor="#FFFFFF" filled="t" stroked="t" coordsize="21600,21600" o:gfxdata="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wJG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沟谷密度</w:t>
                                </w:r>
                              </w:p>
                            </w:txbxContent>
                          </v:textbox>
                        </v:shape>
                        <v:shape id="文本框 31" o:spid="_x0000_s1026" o:spt="202" type="#_x0000_t202" style="position:absolute;left:7538;top:4510;height:306;width:1440;" fillcolor="#FFFFFF" filled="t" stroked="t" coordsize="21600,21600" o:gfxdata="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zZb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w:t>
                                </w:r>
                              </w:p>
                            </w:txbxContent>
                          </v:textbox>
                        </v:shape>
                        <v:shape id="文本框 32" o:spid="_x0000_s1026" o:spt="202" type="#_x0000_t202" style="position:absolute;left:7538;top:4984;height:277;width:1440;" fillcolor="#FFFFFF" filled="t" stroked="t" coordsize="21600,21600" o:gfxdata="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yYF6/&#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岩体完整程度</w:t>
                                </w:r>
                              </w:p>
                            </w:txbxContent>
                          </v:textbox>
                        </v:shape>
                        <v:shape id="文本框 33" o:spid="_x0000_s1026" o:spt="202" type="#_x0000_t202" style="position:absolute;left:7538;top:5296;height:278;width:1440;" fillcolor="#FFFFFF" filled="t" stroked="t" coordsize="21600,21600" o:gfxdata="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oP4p&#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地震烈度</w:t>
                                </w:r>
                              </w:p>
                            </w:txbxContent>
                          </v:textbox>
                        </v:shape>
                        <v:shape id="文本框 34" o:spid="_x0000_s1026" o:spt="202" type="#_x0000_t202" style="position:absolute;left:7538;top:5608;height:289;width:1440;" fillcolor="#FFFFFF" filled="t" stroked="t" coordsize="21600,21600" o:gfxdata="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7Fuy&#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构造发育程度</w:t>
                                </w:r>
                              </w:p>
                            </w:txbxContent>
                          </v:textbox>
                        </v:shape>
                        <v:line id="直线 35" o:spid="_x0000_s1026" o:spt="20" style="position:absolute;left:6998;top:3964;height:680;width:0;"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6" o:spid="_x0000_s1026" o:spt="20" style="position:absolute;left:6458;top:4359;height:0;width:108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7" o:spid="_x0000_s1026" o:spt="20" style="position:absolute;left:6998;top:3968;height:0;width:540;"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8" o:spid="_x0000_s1026" o:spt="20" style="position:absolute;left:6998;top:4666;height:0;width:540;"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9" o:spid="_x0000_s1026" o:spt="20" style="position:absolute;left:6998;top:5140;height:624;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40" o:spid="_x0000_s1026" o:spt="20" style="position:absolute;left:6458;top:5452;height:0;width:108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 o:spid="_x0000_s1026" o:spt="20" style="position:absolute;left:6998;top:5140;height:0;width:540;"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2" o:spid="_x0000_s1026" o:spt="20" style="position:absolute;left:6998;top:5764;height:0;width:54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43" o:spid="_x0000_s1026" o:spt="100" style="position:absolute;left:5013;top:4379;height:1060;width:6;" filled="f" stroked="t" coordsize="6,1119" o:gfxdata="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WKDvQAA&#10;ANsAAAAPAAAAAAAAAAEAIAAAACIAAABkcnMvZG93bnJldi54bWxQSwECFAAUAAAACACHTuJAMy8F&#10;njsAAAA5AAAAEAAAAAAAAAABACAAAAAMAQAAZHJzL3NoYXBleG1sLnhtbFBLBQYAAAAABgAGAFsB&#10;AAC2AwAAAAA=&#10;" path="m0,0l6,1119e">
                          <v:fill on="f" focussize="0,0"/>
                          <v:stroke color="#000000" joinstyle="round"/>
                          <v:imagedata o:title=""/>
                          <o:lock v:ext="edit" aspectratio="f"/>
                        </v:shape>
                        <v:line id="直线 44" o:spid="_x0000_s1026" o:spt="20" style="position:absolute;left:4478;top:4884;height:0;width:54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5018;top:4362;height:0;width:54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6" o:spid="_x0000_s1026" o:spt="20" style="position:absolute;left:5018;top:5452;height:0;width:54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7" o:spid="_x0000_s1026" o:spt="20" style="position:absolute;left:2678;top:4898;height:0;width:54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48" o:spid="_x0000_s1026" o:spt="203" style="position:absolute;left:2815;top:10765;height:3869;width:6870;" coordorigin="1778,5920" coordsize="7200,4033"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rect id="矩形 49" o:spid="_x0000_s1026" o:spt="1" style="position:absolute;left:1778;top:5920;height:2184;width:360;" fillcolor="#FFFFFF" filled="t" stroked="t" coordsize="21600,21600" o:gfxdata="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54I7i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5mm,0.3mm,1.5mm,0.3mm">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地质灾害易程度评价因子</w:t>
                                </w:r>
                              </w:p>
                            </w:txbxContent>
                          </v:textbox>
                        </v:rect>
                        <v:shape id="文本框 50" o:spid="_x0000_s1026" o:spt="202" type="#_x0000_t202" style="position:absolute;left:3218;top:6856;height:306;width:1260;" fillcolor="#FFFFFF" filled="t" stroked="t" coordsize="21600,21600" o:gfxdata="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Ah8l&#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诱发因素</w:t>
                                </w:r>
                              </w:p>
                            </w:txbxContent>
                          </v:textbox>
                        </v:shape>
                        <v:shape id="文本框 51" o:spid="_x0000_s1026" o:spt="202" type="#_x0000_t202" style="position:absolute;left:3218;top:8884;height:306;width:1260;" fillcolor="#FFFFFF" filled="t" stroked="t" coordsize="21600,21600" o:gfxdata="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A0/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危害程度</w:t>
                                </w:r>
                              </w:p>
                            </w:txbxContent>
                          </v:textbox>
                        </v:shape>
                        <v:shape id="文本框 52" o:spid="_x0000_s1026" o:spt="202" type="#_x0000_t202" style="position:absolute;left:5558;top:9352;height:306;width:900;" fillcolor="#FFFFFF" filled="t" stroked="t" coordsize="21600,21600" o:gfxdata="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x2Y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灾害危害</w:t>
                                </w:r>
                              </w:p>
                            </w:txbxContent>
                          </v:textbox>
                        </v:shape>
                        <v:shape id="文本框 53" o:spid="_x0000_s1026" o:spt="202" type="#_x0000_t202" style="position:absolute;left:5558;top:7480;height:306;width:900;" fillcolor="#FFFFFF" filled="t" stroked="t" coordsize="21600,21600" o:gfxdata="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7oF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人为活动</w:t>
                                </w:r>
                              </w:p>
                            </w:txbxContent>
                          </v:textbox>
                        </v:shape>
                        <v:shape id="文本框 54" o:spid="_x0000_s1026" o:spt="202" type="#_x0000_t202" style="position:absolute;left:5558;top:6388;height:305;width:900;" fillcolor="#FFFFFF" filled="t" stroked="t" coordsize="21600,21600" o:gfxdata="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JN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气候条件</w:t>
                                </w:r>
                              </w:p>
                            </w:txbxContent>
                          </v:textbox>
                        </v:shape>
                        <v:shape id="文本框 55" o:spid="_x0000_s1026" o:spt="202" type="#_x0000_t202" style="position:absolute;left:5558;top:8416;height:306;width:900;" fillcolor="#FFFFFF" filled="t" stroked="t" coordsize="21600,21600" o:gfxdata="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9X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灾害特点</w:t>
                                </w:r>
                              </w:p>
                            </w:txbxContent>
                          </v:textbox>
                        </v:shape>
                        <v:shape id="文本框 56" o:spid="_x0000_s1026" o:spt="202" type="#_x0000_t202" style="position:absolute;left:7538;top:6076;height:294;width:1440;" fillcolor="#FFFFFF" filled="t" stroked="t" coordsize="21600,21600" o:gfxdata="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Wg/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连续日降雨量</w:t>
                                </w:r>
                              </w:p>
                            </w:txbxContent>
                          </v:textbox>
                        </v:shape>
                        <v:shape id="文本框 57" o:spid="_x0000_s1026" o:spt="202" type="#_x0000_t202" style="position:absolute;left:7538;top:6388;height:289;width:1440;" fillcolor="#FFFFFF" filled="t" stroked="t" coordsize="21600,21600" o:gfxdata="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EHYq/&#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月最大降雨量</w:t>
                                </w:r>
                              </w:p>
                            </w:txbxContent>
                          </v:textbox>
                        </v:shape>
                        <v:shape id="文本框 58" o:spid="_x0000_s1026" o:spt="202" type="#_x0000_t202" style="position:absolute;left:7538;top:6700;height:294;width:1440;" fillcolor="#FFFFFF" filled="t" stroked="t" coordsize="21600,21600" o:gfxdata="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i4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日最大降雨量</w:t>
                                </w:r>
                              </w:p>
                            </w:txbxContent>
                          </v:textbox>
                        </v:shape>
                        <v:shape id="文本框 59" o:spid="_x0000_s1026" o:spt="202" type="#_x0000_t202" style="position:absolute;left:7538;top:7480;height:283;width:1440;" fillcolor="#FFFFFF" filled="t" stroked="t" coordsize="21600,21600" o:gfxdata="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XLG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陡坡垦植</w:t>
                                </w:r>
                              </w:p>
                            </w:txbxContent>
                          </v:textbox>
                        </v:shape>
                        <v:shape id="文本框 60" o:spid="_x0000_s1026" o:spt="202" type="#_x0000_t202" style="position:absolute;left:7538;top:7168;height:283;width:1440;" fillcolor="#FFFFFF" filled="t" stroked="t" coordsize="21600,21600" o:gfxdata="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24n4&#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工程活动削坡</w:t>
                                </w:r>
                              </w:p>
                            </w:txbxContent>
                          </v:textbox>
                        </v:shape>
                        <v:shape id="文本框 61" o:spid="_x0000_s1026" o:spt="202" type="#_x0000_t202" style="position:absolute;left:7538;top:8260;height:283;width:1440;" fillcolor="#FFFFFF" filled="t" stroked="t" coordsize="21600,21600" o:gfxdata="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3q2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灾害密度</w:t>
                                </w:r>
                              </w:p>
                            </w:txbxContent>
                          </v:textbox>
                        </v:shape>
                        <v:shape id="文本框 62" o:spid="_x0000_s1026" o:spt="202" type="#_x0000_t202" style="position:absolute;left:7538;top:8572;height:284;width:1440;" fillcolor="#FFFFFF" filled="t" stroked="t" coordsize="21600,21600" o:gfxdata="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BT0O/&#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灾害规模</w:t>
                                </w:r>
                              </w:p>
                            </w:txbxContent>
                          </v:textbox>
                        </v:shape>
                        <v:shape id="文本框 63" o:spid="_x0000_s1026" o:spt="202" type="#_x0000_t202" style="position:absolute;left:7538;top:9040;height:283;width:1440;" fillcolor="#FFFFFF" filled="t" stroked="t" coordsize="21600,21600" o:gfxdata="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PRN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危害程度</w:t>
                                </w:r>
                              </w:p>
                            </w:txbxContent>
                          </v:textbox>
                        </v:shape>
                        <v:shape id="文本框 64" o:spid="_x0000_s1026" o:spt="202" type="#_x0000_t202" style="position:absolute;left:7538;top:9352;height:284;width:1440;" fillcolor="#FFFFFF" filled="t" stroked="t" coordsize="21600,21600" o:gfxdata="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3Sv&#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人口密度</w:t>
                                </w:r>
                              </w:p>
                            </w:txbxContent>
                          </v:textbox>
                        </v:shape>
                        <v:shape id="文本框 65" o:spid="_x0000_s1026" o:spt="202" type="#_x0000_t202" style="position:absolute;left:7538;top:9664;height:289;width:1440;" fillcolor="#FFFFFF" filled="t" stroked="t" coordsize="21600,21600" o:gfxdata="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tuzb&#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潜在威胁</w:t>
                                </w:r>
                              </w:p>
                            </w:txbxContent>
                          </v:textbox>
                        </v:shape>
                        <v:line id="直线 66" o:spid="_x0000_s1026" o:spt="20" style="position:absolute;left:6998;top:6232;height:624;width: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7" o:spid="_x0000_s1026" o:spt="20" style="position:absolute;left:6458;top:6544;height:0;width:108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8" o:spid="_x0000_s1026" o:spt="20" style="position:absolute;left:6998;top:6232;height:0;width:540;"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9" o:spid="_x0000_s1026" o:spt="20" style="position:absolute;left:6998;top:6856;height:0;width:540;" filled="f" stroked="t" coordsize="21600,21600" o:gfxdata="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Mr9O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70" o:spid="_x0000_s1026" o:spt="20" style="position:absolute;left:6998;top:7324;height:0;width:540;" filled="f" stroked="t" coordsize="21600,21600" o:gfxdata="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KS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1" o:spid="_x0000_s1026" o:spt="20" style="position:absolute;left:6998;top:7948;height:0;width:540;" filled="f" stroked="t" coordsize="21600,21600" o:gfxdata="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4zU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72" o:spid="_x0000_s1026" o:spt="20" style="position:absolute;left:6998;top:8416;height:312;width:0;"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3" o:spid="_x0000_s1026" o:spt="20" style="position:absolute;left:6998;top:8416;height:0;width:540;" filled="f" stroked="t" coordsize="21600,21600" o:gfxdata="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Q7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4" o:spid="_x0000_s1026" o:spt="20" style="position:absolute;left:6998;top:8728;height:0;width:540;"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5" o:spid="_x0000_s1026" o:spt="20" style="position:absolute;left:6458;top:8572;height:0;width:540;"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6" o:spid="_x0000_s1026" o:spt="20" style="position:absolute;left:6998;top:9196;height:624;width:0;"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7" o:spid="_x0000_s1026" o:spt="20" style="position:absolute;left:6458;top:9508;height:0;width:1080;"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8" o:spid="_x0000_s1026" o:spt="20" style="position:absolute;left:6998;top:9196;height:0;width:540;" filled="f" stroked="t" coordsize="21600,21600" o:gfxdata="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rX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79" o:spid="_x0000_s1026" o:spt="20" style="position:absolute;left:6998;top:9820;height:0;width:540;"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80" o:spid="_x0000_s1026" o:spt="20" style="position:absolute;left:5018;top:6544;height:1092;width:0;"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1" o:spid="_x0000_s1026" o:spt="20" style="position:absolute;left:5018;top:6544;height:0;width:54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2" o:spid="_x0000_s1026" o:spt="20" style="position:absolute;left:5018;top:7636;height:0;width:540;" filled="f" stroked="t" coordsize="21600,21600" o:gfxdata="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4L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3" o:spid="_x0000_s1026" o:spt="20" style="position:absolute;left:4478;top:7012;height:0;width:540;"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4" o:spid="_x0000_s1026" o:spt="20" style="position:absolute;left:5018;top:8572;height:936;width:0;"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5" o:spid="_x0000_s1026" o:spt="20" style="position:absolute;left:5018;top:8572;height:0;width:540;" filled="f" stroked="t" coordsize="21600,21600" o:gfxdata="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Qy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6" o:spid="_x0000_s1026" o:spt="20" style="position:absolute;left:5018;top:9508;height:0;width:540;"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7" o:spid="_x0000_s1026" o:spt="20" style="position:absolute;left:4478;top:9040;height:0;width:540;" filled="f" stroked="t" coordsize="21600,21600" o:gfxdata="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4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8" o:spid="_x0000_s1026" o:spt="20" style="position:absolute;left:2678;top:9040;height:0;width:540;" filled="f" stroked="t" coordsize="21600,21600" o:gfxdata="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3V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9" o:spid="_x0000_s1026" o:spt="20" style="position:absolute;left:2138;top:7012;height:0;width:1080;"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90" o:spid="_x0000_s1026" o:spt="202" type="#_x0000_t202" style="position:absolute;left:7538;top:7792;height:284;width:1440;" fillcolor="#FFFFFF" filled="t" stroked="t" coordsize="21600,21600" o:gfxdata="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u6W/&#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植被发育程度</w:t>
                                </w:r>
                              </w:p>
                            </w:txbxContent>
                          </v:textbox>
                        </v:shape>
                        <v:line id="直线 91" o:spid="_x0000_s1026" o:spt="20" style="position:absolute;left:6998;top:7324;height:624;width:0;"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92" o:spid="_x0000_s1026" o:spt="20" style="position:absolute;left:6458;top:7636;flip:x;height:0;width:1083;"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v:group>
                <w10:wrap type="none"/>
                <w10:anchorlock/>
              </v:group>
            </w:pict>
          </mc:Fallback>
        </mc:AlternateContent>
      </w:r>
      <w:bookmarkStart w:id="308" w:name="_Toc469046126"/>
    </w:p>
    <w:p>
      <w:pPr>
        <w:snapToGrid w:val="0"/>
        <w:ind w:firstLine="562"/>
        <w:rPr>
          <w:rFonts w:ascii="仿宋" w:hAnsi="仿宋" w:eastAsia="仿宋" w:cs="仿宋"/>
          <w:b/>
          <w:bCs/>
          <w:sz w:val="28"/>
          <w:szCs w:val="28"/>
        </w:rPr>
      </w:pPr>
      <w:r>
        <w:rPr>
          <w:rFonts w:hint="eastAsia" w:ascii="仿宋" w:hAnsi="仿宋" w:eastAsia="仿宋" w:cs="仿宋"/>
          <w:b/>
          <w:bCs/>
          <w:sz w:val="28"/>
          <w:szCs w:val="28"/>
        </w:rPr>
        <w:t>（二）定性分析</w:t>
      </w:r>
      <w:bookmarkEnd w:id="308"/>
    </w:p>
    <w:p>
      <w:pPr>
        <w:snapToGrid w:val="0"/>
        <w:ind w:firstLine="560"/>
        <w:rPr>
          <w:rFonts w:ascii="仿宋" w:hAnsi="仿宋" w:eastAsia="仿宋" w:cs="仿宋"/>
          <w:sz w:val="28"/>
          <w:szCs w:val="28"/>
        </w:rPr>
      </w:pPr>
      <w:r>
        <w:rPr>
          <w:rFonts w:hint="eastAsia" w:ascii="仿宋" w:hAnsi="仿宋" w:eastAsia="仿宋" w:cs="仿宋"/>
          <w:sz w:val="28"/>
          <w:szCs w:val="28"/>
        </w:rPr>
        <w:t>根据野外调查资料，依据地质灾害形成发育的地质环境条件、发育现状、人类工程活动与研究工作程度。分析研究地质灾害的发育特征，即灾种、分布、密度、规模、危害程度等以及控制地质灾害发育的主导因素的区域差异性，参考表4-1进行地质灾害易发程度区划分。</w:t>
      </w:r>
    </w:p>
    <w:p>
      <w:pPr>
        <w:snapToGrid w:val="0"/>
        <w:ind w:firstLine="422"/>
        <w:jc w:val="center"/>
        <w:rPr>
          <w:rFonts w:ascii="仿宋" w:hAnsi="仿宋" w:eastAsia="仿宋" w:cs="仿宋"/>
          <w:b/>
          <w:bCs/>
          <w:sz w:val="21"/>
          <w:szCs w:val="21"/>
        </w:rPr>
      </w:pPr>
    </w:p>
    <w:p>
      <w:pPr>
        <w:snapToGrid w:val="0"/>
        <w:ind w:firstLine="422"/>
        <w:jc w:val="center"/>
        <w:rPr>
          <w:rFonts w:ascii="仿宋" w:hAnsi="仿宋" w:eastAsia="仿宋" w:cs="仿宋"/>
          <w:b/>
          <w:bCs/>
          <w:sz w:val="21"/>
          <w:szCs w:val="21"/>
        </w:rPr>
      </w:pPr>
    </w:p>
    <w:p>
      <w:pPr>
        <w:snapToGrid w:val="0"/>
        <w:ind w:firstLine="422"/>
        <w:jc w:val="center"/>
        <w:rPr>
          <w:rFonts w:ascii="仿宋" w:hAnsi="仿宋" w:eastAsia="仿宋" w:cs="仿宋"/>
          <w:b/>
          <w:bCs/>
          <w:sz w:val="21"/>
          <w:szCs w:val="21"/>
        </w:rPr>
      </w:pPr>
    </w:p>
    <w:p>
      <w:pPr>
        <w:snapToGrid w:val="0"/>
        <w:ind w:firstLine="422"/>
        <w:jc w:val="center"/>
        <w:rPr>
          <w:rFonts w:ascii="仿宋" w:hAnsi="仿宋" w:eastAsia="仿宋" w:cs="仿宋"/>
          <w:b/>
          <w:bCs/>
          <w:sz w:val="21"/>
          <w:szCs w:val="21"/>
        </w:rPr>
      </w:pPr>
      <w:r>
        <w:rPr>
          <w:rFonts w:hint="eastAsia" w:ascii="仿宋" w:hAnsi="仿宋" w:eastAsia="仿宋" w:cs="仿宋"/>
          <w:b/>
          <w:bCs/>
          <w:sz w:val="21"/>
          <w:szCs w:val="21"/>
        </w:rPr>
        <w:t>表4-1  地质灾害易发区主要特征简表</w:t>
      </w:r>
    </w:p>
    <w:tbl>
      <w:tblPr>
        <w:tblStyle w:val="33"/>
        <w:tblW w:w="911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98"/>
        <w:gridCol w:w="3350"/>
        <w:gridCol w:w="2745"/>
        <w:gridCol w:w="21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8" w:type="dxa"/>
            <w:vMerge w:val="restart"/>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灾害类型</w:t>
            </w:r>
          </w:p>
        </w:tc>
        <w:tc>
          <w:tcPr>
            <w:tcW w:w="8221" w:type="dxa"/>
            <w:gridSpan w:val="3"/>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易发程度划分宏观指标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8" w:type="dxa"/>
            <w:vMerge w:val="continue"/>
            <w:vAlign w:val="center"/>
          </w:tcPr>
          <w:p>
            <w:pPr>
              <w:snapToGrid w:val="0"/>
              <w:spacing w:line="240" w:lineRule="auto"/>
              <w:ind w:firstLine="0" w:firstLineChars="0"/>
              <w:jc w:val="center"/>
              <w:rPr>
                <w:rFonts w:ascii="仿宋" w:hAnsi="仿宋" w:eastAsia="仿宋" w:cs="仿宋"/>
                <w:sz w:val="21"/>
                <w:szCs w:val="21"/>
              </w:rPr>
            </w:pPr>
          </w:p>
        </w:tc>
        <w:tc>
          <w:tcPr>
            <w:tcW w:w="335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高易发区</w:t>
            </w:r>
          </w:p>
        </w:tc>
        <w:tc>
          <w:tcPr>
            <w:tcW w:w="274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中易发区</w:t>
            </w:r>
          </w:p>
        </w:tc>
        <w:tc>
          <w:tcPr>
            <w:tcW w:w="2126"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低易发区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74" w:hRule="atLeast"/>
        </w:trPr>
        <w:tc>
          <w:tcPr>
            <w:tcW w:w="89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滑坡、崩塌</w:t>
            </w:r>
          </w:p>
        </w:tc>
        <w:tc>
          <w:tcPr>
            <w:tcW w:w="3350" w:type="dxa"/>
            <w:vAlign w:val="center"/>
          </w:tcPr>
          <w:p>
            <w:pPr>
              <w:snapToGrid w:val="0"/>
              <w:spacing w:line="240" w:lineRule="auto"/>
              <w:ind w:firstLine="0" w:firstLineChars="0"/>
              <w:jc w:val="left"/>
              <w:rPr>
                <w:rFonts w:ascii="仿宋" w:hAnsi="仿宋" w:eastAsia="仿宋" w:cs="仿宋"/>
                <w:sz w:val="21"/>
                <w:szCs w:val="21"/>
              </w:rPr>
            </w:pPr>
            <w:r>
              <w:rPr>
                <w:rFonts w:hint="eastAsia" w:ascii="仿宋" w:hAnsi="仿宋" w:eastAsia="仿宋" w:cs="仿宋"/>
                <w:sz w:val="21"/>
                <w:szCs w:val="21"/>
              </w:rPr>
              <w:t>灾害点分布密度&gt;1个/10km</w:t>
            </w:r>
            <w:r>
              <w:rPr>
                <w:rFonts w:hint="eastAsia" w:ascii="仿宋" w:hAnsi="仿宋" w:eastAsia="仿宋" w:cs="仿宋"/>
                <w:sz w:val="21"/>
                <w:szCs w:val="21"/>
                <w:vertAlign w:val="superscript"/>
              </w:rPr>
              <w:t>2</w:t>
            </w:r>
            <w:r>
              <w:rPr>
                <w:rFonts w:hint="eastAsia" w:ascii="仿宋" w:hAnsi="仿宋" w:eastAsia="仿宋" w:cs="仿宋"/>
                <w:sz w:val="21"/>
                <w:szCs w:val="21"/>
              </w:rPr>
              <w:t>，有中型以上滑坡。地形为中高山区，地形切割破碎，岩土类型以碎屑岩为主，斜坡风化土层深厚&gt;5m。新构造活动强烈，地震烈度Ⅶ～Ⅷ。斜坡植被覆盖率&lt;20%。人类工程活动强烈。新构造活动强烈，地震烈度Ⅶ～Ⅷ。沟域滑坡等重力侵蚀严重。</w:t>
            </w:r>
          </w:p>
        </w:tc>
        <w:tc>
          <w:tcPr>
            <w:tcW w:w="2745" w:type="dxa"/>
            <w:vAlign w:val="center"/>
          </w:tcPr>
          <w:p>
            <w:pPr>
              <w:snapToGrid w:val="0"/>
              <w:spacing w:line="240" w:lineRule="auto"/>
              <w:ind w:firstLine="0" w:firstLineChars="0"/>
              <w:jc w:val="left"/>
              <w:rPr>
                <w:rFonts w:ascii="仿宋" w:hAnsi="仿宋" w:eastAsia="仿宋" w:cs="仿宋"/>
                <w:sz w:val="21"/>
                <w:szCs w:val="21"/>
              </w:rPr>
            </w:pPr>
            <w:r>
              <w:rPr>
                <w:rFonts w:hint="eastAsia" w:ascii="仿宋" w:hAnsi="仿宋" w:eastAsia="仿宋" w:cs="仿宋"/>
                <w:sz w:val="21"/>
                <w:szCs w:val="21"/>
              </w:rPr>
              <w:t>灾害点分布密度0.5个/10km</w:t>
            </w:r>
            <w:r>
              <w:rPr>
                <w:rFonts w:hint="eastAsia" w:ascii="仿宋" w:hAnsi="仿宋" w:eastAsia="仿宋" w:cs="仿宋"/>
                <w:sz w:val="21"/>
                <w:szCs w:val="21"/>
                <w:vertAlign w:val="superscript"/>
              </w:rPr>
              <w:t>2</w:t>
            </w:r>
            <w:r>
              <w:rPr>
                <w:rFonts w:hint="eastAsia" w:ascii="仿宋" w:hAnsi="仿宋" w:eastAsia="仿宋" w:cs="仿宋"/>
                <w:sz w:val="21"/>
                <w:szCs w:val="21"/>
              </w:rPr>
              <w:t>，中小型的滑坡为主。地形为高山区，地形切割较破碎，岩土类型以碎屑岩为主，新构造活动较强烈，地震烈度Ⅶ。斜坡植被覆盖率＜30%。人类工程活动强烈。构造活动较强烈，地震烈度Ⅶ。</w:t>
            </w:r>
          </w:p>
        </w:tc>
        <w:tc>
          <w:tcPr>
            <w:tcW w:w="2126" w:type="dxa"/>
            <w:vAlign w:val="center"/>
          </w:tcPr>
          <w:p>
            <w:pPr>
              <w:snapToGrid w:val="0"/>
              <w:spacing w:line="240" w:lineRule="auto"/>
              <w:ind w:firstLine="0" w:firstLineChars="0"/>
              <w:jc w:val="left"/>
              <w:rPr>
                <w:rFonts w:ascii="仿宋" w:hAnsi="仿宋" w:eastAsia="仿宋" w:cs="仿宋"/>
                <w:sz w:val="21"/>
                <w:szCs w:val="21"/>
              </w:rPr>
            </w:pPr>
            <w:r>
              <w:rPr>
                <w:rFonts w:hint="eastAsia" w:ascii="仿宋" w:hAnsi="仿宋" w:eastAsia="仿宋" w:cs="仿宋"/>
                <w:sz w:val="21"/>
                <w:szCs w:val="21"/>
              </w:rPr>
              <w:t>灾害点零分布，密度&lt;0.5个/10km</w:t>
            </w:r>
            <w:r>
              <w:rPr>
                <w:rFonts w:hint="eastAsia" w:ascii="仿宋" w:hAnsi="仿宋" w:eastAsia="仿宋" w:cs="仿宋"/>
                <w:sz w:val="21"/>
                <w:szCs w:val="21"/>
                <w:vertAlign w:val="superscript"/>
              </w:rPr>
              <w:t>2</w:t>
            </w:r>
            <w:r>
              <w:rPr>
                <w:rFonts w:hint="eastAsia" w:ascii="仿宋" w:hAnsi="仿宋" w:eastAsia="仿宋" w:cs="仿宋"/>
                <w:sz w:val="21"/>
                <w:szCs w:val="21"/>
              </w:rPr>
              <w:t>，发育规模小，以土质滑坡为主。地震烈度≤VI。地形较平缓，斜坡植被覆盖率&gt;30%。人类工程活动较弱。</w:t>
            </w:r>
          </w:p>
        </w:tc>
      </w:tr>
    </w:tbl>
    <w:p>
      <w:pPr>
        <w:snapToGrid w:val="0"/>
        <w:ind w:firstLine="562"/>
        <w:rPr>
          <w:rFonts w:ascii="仿宋" w:hAnsi="仿宋" w:eastAsia="仿宋" w:cs="仿宋"/>
          <w:b/>
          <w:bCs/>
          <w:sz w:val="28"/>
          <w:szCs w:val="28"/>
        </w:rPr>
      </w:pPr>
      <w:bookmarkStart w:id="309" w:name="_Toc469046127"/>
      <w:r>
        <w:rPr>
          <w:rFonts w:hint="eastAsia" w:ascii="仿宋" w:hAnsi="仿宋" w:eastAsia="仿宋" w:cs="仿宋"/>
          <w:b/>
          <w:bCs/>
          <w:sz w:val="28"/>
          <w:szCs w:val="28"/>
        </w:rPr>
        <w:t>（三）定量</w:t>
      </w:r>
      <w:bookmarkEnd w:id="309"/>
      <w:r>
        <w:rPr>
          <w:rFonts w:hint="eastAsia" w:ascii="仿宋" w:hAnsi="仿宋" w:eastAsia="仿宋" w:cs="仿宋"/>
          <w:b/>
          <w:bCs/>
          <w:sz w:val="28"/>
          <w:szCs w:val="28"/>
        </w:rPr>
        <w:t>分析</w:t>
      </w:r>
    </w:p>
    <w:p>
      <w:pPr>
        <w:snapToGrid w:val="0"/>
        <w:ind w:firstLine="560"/>
        <w:rPr>
          <w:rFonts w:ascii="仿宋" w:hAnsi="仿宋" w:eastAsia="仿宋" w:cs="仿宋"/>
          <w:sz w:val="28"/>
          <w:szCs w:val="28"/>
        </w:rPr>
      </w:pPr>
      <w:r>
        <w:rPr>
          <w:rFonts w:hint="eastAsia" w:ascii="仿宋" w:hAnsi="仿宋" w:eastAsia="仿宋" w:cs="仿宋"/>
          <w:sz w:val="28"/>
          <w:szCs w:val="28"/>
        </w:rPr>
        <w:t>定量分析采用“地质灾害综合易发性指数法”。</w:t>
      </w:r>
    </w:p>
    <w:p>
      <w:pPr>
        <w:snapToGrid w:val="0"/>
        <w:ind w:firstLine="560"/>
        <w:rPr>
          <w:rFonts w:ascii="仿宋" w:hAnsi="仿宋" w:eastAsia="仿宋" w:cs="仿宋"/>
          <w:sz w:val="28"/>
          <w:szCs w:val="28"/>
        </w:rPr>
      </w:pPr>
      <w:r>
        <w:rPr>
          <w:rFonts w:hint="eastAsia" w:ascii="仿宋" w:hAnsi="仿宋" w:eastAsia="仿宋" w:cs="仿宋"/>
          <w:sz w:val="28"/>
          <w:szCs w:val="28"/>
        </w:rPr>
        <w:t>1、单元格划分</w:t>
      </w:r>
    </w:p>
    <w:p>
      <w:pPr>
        <w:snapToGrid w:val="0"/>
        <w:ind w:firstLine="560"/>
        <w:rPr>
          <w:rFonts w:ascii="仿宋" w:hAnsi="仿宋" w:eastAsia="仿宋" w:cs="仿宋"/>
          <w:sz w:val="28"/>
          <w:szCs w:val="28"/>
        </w:rPr>
      </w:pPr>
      <w:r>
        <w:rPr>
          <w:rFonts w:hint="eastAsia" w:ascii="仿宋" w:hAnsi="仿宋" w:eastAsia="仿宋" w:cs="仿宋"/>
          <w:sz w:val="28"/>
          <w:szCs w:val="28"/>
        </w:rPr>
        <w:t>根据五通桥区实际情况及采用不规则网格进行计算。</w:t>
      </w:r>
    </w:p>
    <w:p>
      <w:pPr>
        <w:snapToGrid w:val="0"/>
        <w:ind w:firstLine="560"/>
        <w:rPr>
          <w:rFonts w:ascii="仿宋" w:hAnsi="仿宋" w:eastAsia="仿宋" w:cs="仿宋"/>
          <w:sz w:val="28"/>
          <w:szCs w:val="28"/>
        </w:rPr>
      </w:pPr>
      <w:r>
        <w:rPr>
          <w:rFonts w:hint="eastAsia" w:ascii="仿宋" w:hAnsi="仿宋" w:eastAsia="仿宋" w:cs="仿宋"/>
          <w:sz w:val="28"/>
          <w:szCs w:val="28"/>
        </w:rPr>
        <w:t>2、计算方法</w:t>
      </w:r>
    </w:p>
    <w:p>
      <w:pPr>
        <w:snapToGrid w:val="0"/>
        <w:ind w:firstLine="560"/>
        <w:rPr>
          <w:rFonts w:ascii="仿宋" w:hAnsi="仿宋" w:eastAsia="仿宋" w:cs="仿宋"/>
          <w:sz w:val="28"/>
          <w:szCs w:val="28"/>
        </w:rPr>
      </w:pPr>
      <w:r>
        <w:rPr>
          <w:rFonts w:hint="eastAsia" w:ascii="仿宋" w:hAnsi="仿宋" w:eastAsia="仿宋" w:cs="仿宋"/>
          <w:sz w:val="28"/>
          <w:szCs w:val="28"/>
        </w:rPr>
        <w:t>地质灾害综合易发性指数的计算公式：</w:t>
      </w:r>
    </w:p>
    <w:p>
      <w:pPr>
        <w:snapToGrid w:val="0"/>
        <w:ind w:firstLine="560"/>
        <w:rPr>
          <w:rFonts w:ascii="仿宋" w:hAnsi="仿宋" w:eastAsia="仿宋" w:cs="仿宋"/>
          <w:sz w:val="28"/>
          <w:szCs w:val="28"/>
        </w:rPr>
      </w:pPr>
      <w:r>
        <w:rPr>
          <w:rFonts w:hint="eastAsia" w:ascii="仿宋" w:hAnsi="仿宋" w:eastAsia="仿宋" w:cs="仿宋"/>
          <w:sz w:val="28"/>
          <w:szCs w:val="28"/>
        </w:rPr>
        <w:object>
          <v:shape id="_x0000_i1026" o:spt="75" type="#_x0000_t75" style="height:16.6pt;width:91pt;" o:ole="t" filled="f" o:preferrelative="t" stroked="f" coordsize="21600,21600">
            <v:path/>
            <v:fill on="f" focussize="0,0"/>
            <v:stroke on="f" joinstyle="miter"/>
            <v:imagedata r:id="rId31" o:title=""/>
            <o:lock v:ext="edit" aspectratio="t"/>
            <w10:wrap type="none"/>
            <w10:anchorlock/>
          </v:shape>
          <o:OLEObject Type="Embed" ProgID="Equation.3" ShapeID="_x0000_i1026" DrawAspect="Content" ObjectID="_1468075726" r:id="rId30">
            <o:LockedField>false</o:LockedField>
          </o:OLEObject>
        </w:object>
      </w:r>
    </w:p>
    <w:p>
      <w:pPr>
        <w:snapToGrid w:val="0"/>
        <w:ind w:firstLine="560"/>
        <w:rPr>
          <w:rFonts w:ascii="仿宋" w:hAnsi="仿宋" w:eastAsia="仿宋" w:cs="仿宋"/>
          <w:sz w:val="28"/>
          <w:szCs w:val="28"/>
        </w:rPr>
      </w:pPr>
      <w:r>
        <w:rPr>
          <w:rFonts w:hint="eastAsia" w:ascii="仿宋" w:hAnsi="仿宋" w:eastAsia="仿宋" w:cs="仿宋"/>
          <w:sz w:val="28"/>
          <w:szCs w:val="28"/>
        </w:rPr>
        <w:t>式中：Z——地质灾害综合易发性指数；</w:t>
      </w:r>
    </w:p>
    <w:p>
      <w:pPr>
        <w:snapToGrid w:val="0"/>
        <w:ind w:firstLine="560"/>
        <w:rPr>
          <w:rFonts w:ascii="仿宋" w:hAnsi="仿宋" w:eastAsia="仿宋" w:cs="仿宋"/>
          <w:sz w:val="28"/>
          <w:szCs w:val="28"/>
        </w:rPr>
      </w:pPr>
      <w:r>
        <w:rPr>
          <w:rFonts w:hint="eastAsia" w:ascii="仿宋" w:hAnsi="仿宋" w:eastAsia="仿宋" w:cs="仿宋"/>
          <w:sz w:val="28"/>
          <w:szCs w:val="28"/>
        </w:rPr>
        <w:t>Zq——潜在地质灾害强度指数；</w:t>
      </w:r>
    </w:p>
    <w:p>
      <w:pPr>
        <w:snapToGrid w:val="0"/>
        <w:ind w:firstLine="560"/>
        <w:rPr>
          <w:rFonts w:ascii="仿宋" w:hAnsi="仿宋" w:eastAsia="仿宋" w:cs="仿宋"/>
          <w:sz w:val="28"/>
          <w:szCs w:val="28"/>
        </w:rPr>
      </w:pPr>
      <w:r>
        <w:rPr>
          <w:rFonts w:hint="eastAsia" w:ascii="仿宋" w:hAnsi="仿宋" w:eastAsia="仿宋" w:cs="仿宋"/>
          <w:sz w:val="28"/>
          <w:szCs w:val="28"/>
        </w:rPr>
        <w:t>r1 ——潜在地质灾害强度权值；</w:t>
      </w:r>
    </w:p>
    <w:p>
      <w:pPr>
        <w:snapToGrid w:val="0"/>
        <w:ind w:firstLine="560"/>
        <w:rPr>
          <w:rFonts w:ascii="仿宋" w:hAnsi="仿宋" w:eastAsia="仿宋" w:cs="仿宋"/>
          <w:sz w:val="28"/>
          <w:szCs w:val="28"/>
        </w:rPr>
      </w:pPr>
      <w:r>
        <w:rPr>
          <w:rFonts w:hint="eastAsia" w:ascii="仿宋" w:hAnsi="仿宋" w:eastAsia="仿宋" w:cs="仿宋"/>
          <w:sz w:val="28"/>
          <w:szCs w:val="28"/>
        </w:rPr>
        <w:t>Zx——现状地质灾害强度指数；</w:t>
      </w:r>
    </w:p>
    <w:p>
      <w:pPr>
        <w:snapToGrid w:val="0"/>
        <w:ind w:firstLine="560"/>
        <w:rPr>
          <w:rFonts w:ascii="仿宋" w:hAnsi="仿宋" w:eastAsia="仿宋" w:cs="仿宋"/>
          <w:sz w:val="28"/>
          <w:szCs w:val="28"/>
        </w:rPr>
      </w:pPr>
      <w:r>
        <w:rPr>
          <w:rFonts w:hint="eastAsia" w:ascii="仿宋" w:hAnsi="仿宋" w:eastAsia="仿宋" w:cs="仿宋"/>
          <w:sz w:val="28"/>
          <w:szCs w:val="28"/>
        </w:rPr>
        <w:t>r2 ——现状地质灾害强度权值。</w:t>
      </w:r>
    </w:p>
    <w:p>
      <w:pPr>
        <w:snapToGrid w:val="0"/>
        <w:ind w:firstLine="560"/>
        <w:rPr>
          <w:rFonts w:ascii="仿宋" w:hAnsi="仿宋" w:eastAsia="仿宋" w:cs="仿宋"/>
          <w:sz w:val="28"/>
          <w:szCs w:val="28"/>
        </w:rPr>
      </w:pPr>
      <w:r>
        <w:rPr>
          <w:rFonts w:hint="eastAsia" w:ascii="仿宋" w:hAnsi="仿宋" w:eastAsia="仿宋" w:cs="仿宋"/>
          <w:sz w:val="28"/>
          <w:szCs w:val="28"/>
        </w:rPr>
        <w:t>潜在地质灾害强度指数（Zq）按以下公式计算：</w:t>
      </w:r>
    </w:p>
    <w:p>
      <w:pPr>
        <w:snapToGrid w:val="0"/>
        <w:ind w:firstLine="560"/>
        <w:rPr>
          <w:rFonts w:ascii="仿宋" w:hAnsi="仿宋" w:eastAsia="仿宋" w:cs="仿宋"/>
          <w:sz w:val="28"/>
          <w:szCs w:val="28"/>
        </w:rPr>
      </w:pPr>
      <w:r>
        <w:rPr>
          <w:rFonts w:hint="eastAsia" w:ascii="仿宋" w:hAnsi="仿宋" w:eastAsia="仿宋" w:cs="仿宋"/>
          <w:sz w:val="28"/>
          <w:szCs w:val="28"/>
        </w:rPr>
        <w:object>
          <v:shape id="_x0000_i1027" o:spt="75" type="#_x0000_t75" style="height:20.55pt;width:238.95pt;" o:ole="t" fillcolor="#6D6D6D"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7" r:id="rId32">
            <o:LockedField>false</o:LockedField>
          </o:OLEObject>
        </w:object>
      </w:r>
    </w:p>
    <w:p>
      <w:pPr>
        <w:snapToGrid w:val="0"/>
        <w:ind w:firstLine="560"/>
        <w:rPr>
          <w:rFonts w:ascii="仿宋" w:hAnsi="仿宋" w:eastAsia="仿宋" w:cs="仿宋"/>
          <w:sz w:val="28"/>
          <w:szCs w:val="28"/>
        </w:rPr>
      </w:pPr>
      <w:r>
        <w:rPr>
          <w:rFonts w:hint="eastAsia" w:ascii="仿宋" w:hAnsi="仿宋" w:eastAsia="仿宋" w:cs="仿宋"/>
          <w:sz w:val="28"/>
          <w:szCs w:val="28"/>
        </w:rPr>
        <w:t>式中：Ti分别为控制评价单元地质灾害形成的地质条件（D）、地形地貌条件（X）、气候植被条件（Q）、人为条件（R）充分程度的表度分值。Ai分别为各形成条件的权值。</w:t>
      </w:r>
    </w:p>
    <w:p>
      <w:pPr>
        <w:snapToGrid w:val="0"/>
        <w:ind w:firstLine="560"/>
        <w:rPr>
          <w:rFonts w:ascii="仿宋" w:hAnsi="仿宋" w:eastAsia="仿宋" w:cs="仿宋"/>
          <w:sz w:val="28"/>
          <w:szCs w:val="28"/>
        </w:rPr>
      </w:pPr>
      <w:r>
        <w:rPr>
          <w:rFonts w:hint="eastAsia" w:ascii="仿宋" w:hAnsi="仿宋" w:eastAsia="仿宋" w:cs="仿宋"/>
          <w:sz w:val="28"/>
          <w:szCs w:val="28"/>
        </w:rPr>
        <w:t>现状地质灾害强度指数（Zx）用灾害点密度来求得。</w:t>
      </w:r>
    </w:p>
    <w:p>
      <w:pPr>
        <w:snapToGrid w:val="0"/>
        <w:ind w:firstLine="560"/>
        <w:rPr>
          <w:rFonts w:ascii="仿宋" w:hAnsi="仿宋" w:eastAsia="仿宋" w:cs="仿宋"/>
          <w:sz w:val="28"/>
          <w:szCs w:val="28"/>
        </w:rPr>
      </w:pPr>
      <w:r>
        <w:rPr>
          <w:rFonts w:hint="eastAsia" w:ascii="仿宋" w:hAnsi="仿宋" w:eastAsia="仿宋" w:cs="仿宋"/>
          <w:sz w:val="28"/>
          <w:szCs w:val="28"/>
        </w:rPr>
        <w:t>3、滑坡易发程度判别</w:t>
      </w:r>
    </w:p>
    <w:p>
      <w:pPr>
        <w:snapToGrid w:val="0"/>
        <w:ind w:firstLine="560"/>
        <w:rPr>
          <w:rFonts w:ascii="仿宋" w:hAnsi="仿宋" w:eastAsia="仿宋" w:cs="仿宋"/>
          <w:sz w:val="28"/>
          <w:szCs w:val="28"/>
        </w:rPr>
      </w:pPr>
      <w:r>
        <w:rPr>
          <w:rFonts w:hint="eastAsia" w:ascii="仿宋" w:hAnsi="仿宋" w:eastAsia="仿宋" w:cs="仿宋"/>
          <w:sz w:val="28"/>
          <w:szCs w:val="28"/>
        </w:rPr>
        <w:t>根据滑坡的形成条件及影响因素，选择地形、地貌、地层岩性、地质构造、斜坡结构类型、降雨量、植被、公路及水电工程、城镇及人口分布、滑坡发育现状等9项影响因素进行滑坡易发程度综合判别（表4-2）。每个影响因子根据其不同状态及其对滑坡形成影响程度大小划分为3个级别并赋予不同的权重值。降雨量因子对滑坡易发程度影响较大，但工作区气象资料较少，各部位区别不大。单元格中含不同级别影响因子时取面积最大的影响因子值作为该单元格影响因子值。</w:t>
      </w:r>
    </w:p>
    <w:p>
      <w:pPr>
        <w:snapToGrid w:val="0"/>
        <w:ind w:firstLine="420"/>
        <w:jc w:val="center"/>
        <w:rPr>
          <w:sz w:val="21"/>
          <w:szCs w:val="21"/>
        </w:rPr>
      </w:pPr>
      <w:r>
        <w:rPr>
          <w:rFonts w:hint="eastAsia" w:ascii="仿宋" w:hAnsi="仿宋" w:eastAsia="仿宋" w:cs="仿宋"/>
          <w:sz w:val="21"/>
          <w:szCs w:val="21"/>
        </w:rPr>
        <w:t>表4-2  五通桥区滑坡地质灾害影响因子及取值表</w:t>
      </w:r>
    </w:p>
    <w:tbl>
      <w:tblPr>
        <w:tblStyle w:val="33"/>
        <w:tblW w:w="898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134"/>
        <w:gridCol w:w="1059"/>
        <w:gridCol w:w="674"/>
        <w:gridCol w:w="2039"/>
        <w:gridCol w:w="2253"/>
        <w:gridCol w:w="1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tblHeader/>
          <w:jc w:val="center"/>
        </w:trPr>
        <w:tc>
          <w:tcPr>
            <w:tcW w:w="2193" w:type="dxa"/>
            <w:gridSpan w:val="2"/>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影响因子</w:t>
            </w:r>
          </w:p>
        </w:tc>
        <w:tc>
          <w:tcPr>
            <w:tcW w:w="674" w:type="dxa"/>
            <w:vMerge w:val="restart"/>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权重</w:t>
            </w:r>
          </w:p>
        </w:tc>
        <w:tc>
          <w:tcPr>
            <w:tcW w:w="6119" w:type="dxa"/>
            <w:gridSpan w:val="3"/>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赋    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tblHeader/>
          <w:jc w:val="center"/>
        </w:trPr>
        <w:tc>
          <w:tcPr>
            <w:tcW w:w="113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一级因子</w:t>
            </w: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二级因子</w:t>
            </w:r>
          </w:p>
        </w:tc>
        <w:tc>
          <w:tcPr>
            <w:tcW w:w="0" w:type="auto"/>
            <w:vMerge w:val="continue"/>
            <w:vAlign w:val="center"/>
          </w:tcPr>
          <w:p>
            <w:pPr>
              <w:snapToGrid w:val="0"/>
              <w:spacing w:line="240" w:lineRule="auto"/>
              <w:ind w:firstLine="0" w:firstLineChars="0"/>
              <w:rPr>
                <w:rFonts w:ascii="仿宋" w:hAnsi="仿宋" w:eastAsia="仿宋" w:cs="仿宋"/>
                <w:sz w:val="21"/>
                <w:szCs w:val="21"/>
              </w:rPr>
            </w:pPr>
          </w:p>
        </w:tc>
        <w:tc>
          <w:tcPr>
            <w:tcW w:w="203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225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w:t>
            </w:r>
          </w:p>
        </w:tc>
        <w:tc>
          <w:tcPr>
            <w:tcW w:w="182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restart"/>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地形地貌(X)</w:t>
            </w: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地貌类型</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0.1</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侵蚀深切河谷区</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剥蚀侵蚀高山</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冰蚀、冰缘极高山</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continue"/>
            <w:vAlign w:val="center"/>
          </w:tcPr>
          <w:p>
            <w:pPr>
              <w:snapToGrid w:val="0"/>
              <w:spacing w:line="240" w:lineRule="auto"/>
              <w:ind w:firstLine="0" w:firstLineChars="0"/>
              <w:rPr>
                <w:rFonts w:ascii="仿宋" w:hAnsi="仿宋" w:eastAsia="仿宋" w:cs="仿宋"/>
                <w:sz w:val="21"/>
                <w:szCs w:val="21"/>
              </w:rPr>
            </w:pP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地形条件</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0.1</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地形坡度30～50°</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地形坡度20～30°、50～60°</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地形坡度小于20°、或大于60°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restart"/>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气候植被条件(Q)</w:t>
            </w: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降雨量</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0.1</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年均降雨量大于1000mm</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年均降雨量800～1000mm</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年均降雨量小于800mm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continue"/>
            <w:vAlign w:val="center"/>
          </w:tcPr>
          <w:p>
            <w:pPr>
              <w:snapToGrid w:val="0"/>
              <w:spacing w:line="240" w:lineRule="auto"/>
              <w:ind w:firstLine="0" w:firstLineChars="0"/>
              <w:rPr>
                <w:rFonts w:ascii="仿宋" w:hAnsi="仿宋" w:eastAsia="仿宋" w:cs="仿宋"/>
                <w:sz w:val="21"/>
                <w:szCs w:val="21"/>
              </w:rPr>
            </w:pP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植被覆盖率</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0.05</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植被覆盖率小于40％，以乔木、草本为主</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植被覆盖率40～60％，乔木、灌木混杂</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植被覆盖率大于60％，以灌木为主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restart"/>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地质条件(D)</w:t>
            </w: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地层岩性</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0.05</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松散土体，志留系、泥盆系千枚岩、板岩、页岩等</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奥陶系、石炭系、二叠系、三叠系变质砂岩、板岩、大理岩、灰岩等</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火成岩和侵入岩为主，花岗岩、闪长岩等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continue"/>
            <w:vAlign w:val="center"/>
          </w:tcPr>
          <w:p>
            <w:pPr>
              <w:snapToGrid w:val="0"/>
              <w:spacing w:line="240" w:lineRule="auto"/>
              <w:ind w:firstLine="0" w:firstLineChars="0"/>
              <w:rPr>
                <w:rFonts w:ascii="仿宋" w:hAnsi="仿宋" w:eastAsia="仿宋" w:cs="仿宋"/>
                <w:sz w:val="21"/>
                <w:szCs w:val="21"/>
              </w:rPr>
            </w:pP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地质构造</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0.05</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强烈抬升区，中央断裂、虎牙断裂、青溪断裂附近，岩层破碎区</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其他分支断裂及褶皱核部，岩体节理裂隙发育</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受构造作用较小，岩体较完整区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continue"/>
            <w:vAlign w:val="center"/>
          </w:tcPr>
          <w:p>
            <w:pPr>
              <w:snapToGrid w:val="0"/>
              <w:spacing w:line="240" w:lineRule="auto"/>
              <w:ind w:firstLine="0" w:firstLineChars="0"/>
              <w:rPr>
                <w:rFonts w:ascii="仿宋" w:hAnsi="仿宋" w:eastAsia="仿宋" w:cs="仿宋"/>
                <w:sz w:val="21"/>
                <w:szCs w:val="21"/>
              </w:rPr>
            </w:pP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斜坡结构类型</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0.1</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松散土体斜坡、顺向坡、斜向坡（同向）</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逆向坡、斜向坡（逆向）</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斜坡近水平、块状岩体斜坡、横向坡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193" w:type="dxa"/>
            <w:gridSpan w:val="2"/>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人类工程活动（R）</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0.2</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县级及以上干道，县城及二级城镇规划建设区，水电站主要工程建设区，重要采矿区，重要旅游景区，大量开挖边坡、人工爆破、涵硐开挖等工程活动</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乡镇公路，水电站辅助工程建设区，三级乡集镇，居民聚居区，一般旅游景区，采石场，工程开挖边坡量较大</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无公路或水电建设工程，少人区或无人区，工程活动量小，对环境的影响小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193" w:type="dxa"/>
            <w:gridSpan w:val="2"/>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滑坡发育现状</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0.25</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存在1处以上滑坡、滑坡，或有1处大型滑坡、正在活动的滑坡，或灾害点分布密度大于2处/10km2</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有1处滑坡、滑坡，或灾害点分布密度小于2处/10km2</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滑坡或滑坡不发育</w:t>
            </w:r>
          </w:p>
        </w:tc>
      </w:tr>
    </w:tbl>
    <w:p>
      <w:pPr>
        <w:snapToGrid w:val="0"/>
        <w:ind w:firstLine="562"/>
        <w:rPr>
          <w:rFonts w:ascii="仿宋" w:hAnsi="仿宋" w:eastAsia="仿宋" w:cs="仿宋"/>
          <w:b/>
          <w:bCs/>
          <w:sz w:val="28"/>
          <w:szCs w:val="28"/>
        </w:rPr>
      </w:pPr>
      <w:r>
        <w:rPr>
          <w:rFonts w:hint="eastAsia" w:ascii="仿宋" w:hAnsi="仿宋" w:eastAsia="仿宋" w:cs="仿宋"/>
          <w:b/>
          <w:bCs/>
          <w:sz w:val="28"/>
          <w:szCs w:val="28"/>
        </w:rPr>
        <w:t>（四）崩塌易发程度判别</w:t>
      </w:r>
    </w:p>
    <w:p>
      <w:pPr>
        <w:snapToGrid w:val="0"/>
        <w:ind w:firstLine="560"/>
        <w:rPr>
          <w:rFonts w:ascii="仿宋" w:hAnsi="仿宋" w:eastAsia="仿宋" w:cs="仿宋"/>
          <w:sz w:val="28"/>
          <w:szCs w:val="28"/>
        </w:rPr>
      </w:pPr>
      <w:r>
        <w:rPr>
          <w:rFonts w:hint="eastAsia" w:ascii="仿宋" w:hAnsi="仿宋" w:eastAsia="仿宋" w:cs="仿宋"/>
          <w:sz w:val="28"/>
          <w:szCs w:val="28"/>
        </w:rPr>
        <w:t>根据崩塌的形成条件及影响因素，选择地形、地貌、地层岩性、地质构造、斜坡结构类型、植被、降雨量、人类工程活动、崩塌发育现状等9项指标进行崩塌易发程度综合判别（表4-3）。每个影响因子根据其不同状态及其对崩塌形成影响程度大小划分为3个级别并赋予不同的权重值。</w:t>
      </w:r>
    </w:p>
    <w:p>
      <w:pPr>
        <w:pStyle w:val="2"/>
        <w:snapToGrid w:val="0"/>
        <w:spacing w:line="360" w:lineRule="auto"/>
      </w:pPr>
      <w:r>
        <w:rPr>
          <w:rFonts w:hint="eastAsia" w:ascii="仿宋" w:hAnsi="仿宋" w:eastAsia="仿宋" w:cs="仿宋"/>
        </w:rPr>
        <w:t>表4-3  五通桥区崩塌地质灾害影响因子及取值表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40"/>
        <w:gridCol w:w="815"/>
        <w:gridCol w:w="709"/>
        <w:gridCol w:w="2599"/>
        <w:gridCol w:w="2343"/>
        <w:gridCol w:w="17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37" w:hRule="atLeast"/>
          <w:tblHeader/>
          <w:jc w:val="center"/>
        </w:trPr>
        <w:tc>
          <w:tcPr>
            <w:tcW w:w="1446" w:type="dxa"/>
            <w:gridSpan w:val="2"/>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影响因子</w:t>
            </w:r>
          </w:p>
        </w:tc>
        <w:tc>
          <w:tcPr>
            <w:tcW w:w="709" w:type="dxa"/>
            <w:vMerge w:val="restart"/>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权重</w:t>
            </w:r>
          </w:p>
        </w:tc>
        <w:tc>
          <w:tcPr>
            <w:tcW w:w="6745" w:type="dxa"/>
            <w:gridSpan w:val="3"/>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赋    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56" w:hRule="atLeast"/>
          <w:tblHeader/>
          <w:jc w:val="center"/>
        </w:trPr>
        <w:tc>
          <w:tcPr>
            <w:tcW w:w="0" w:type="auto"/>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一级因子</w:t>
            </w:r>
          </w:p>
        </w:tc>
        <w:tc>
          <w:tcPr>
            <w:tcW w:w="815" w:type="dxa"/>
            <w:vAlign w:val="center"/>
          </w:tcPr>
          <w:p>
            <w:pPr>
              <w:snapToGrid w:val="0"/>
              <w:spacing w:line="240" w:lineRule="auto"/>
              <w:ind w:firstLine="0" w:firstLineChars="0"/>
              <w:jc w:val="left"/>
              <w:rPr>
                <w:rFonts w:ascii="仿宋" w:hAnsi="仿宋" w:eastAsia="仿宋" w:cs="仿宋"/>
              </w:rPr>
            </w:pPr>
            <w:r>
              <w:rPr>
                <w:rFonts w:hint="eastAsia" w:ascii="仿宋" w:hAnsi="仿宋" w:eastAsia="仿宋" w:cs="仿宋"/>
              </w:rPr>
              <w:t>二级因子</w:t>
            </w:r>
          </w:p>
        </w:tc>
        <w:tc>
          <w:tcPr>
            <w:tcW w:w="709" w:type="dxa"/>
            <w:vMerge w:val="continue"/>
            <w:vAlign w:val="center"/>
          </w:tcPr>
          <w:p>
            <w:pPr>
              <w:snapToGrid w:val="0"/>
              <w:spacing w:line="240" w:lineRule="auto"/>
              <w:ind w:firstLine="0" w:firstLineChars="0"/>
              <w:jc w:val="center"/>
              <w:rPr>
                <w:rFonts w:ascii="仿宋" w:hAnsi="仿宋" w:eastAsia="仿宋" w:cs="仿宋"/>
              </w:rPr>
            </w:pPr>
          </w:p>
        </w:tc>
        <w:tc>
          <w:tcPr>
            <w:tcW w:w="2600"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3</w:t>
            </w:r>
          </w:p>
        </w:tc>
        <w:tc>
          <w:tcPr>
            <w:tcW w:w="0" w:type="auto"/>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2</w:t>
            </w:r>
          </w:p>
        </w:tc>
        <w:tc>
          <w:tcPr>
            <w:tcW w:w="0" w:type="auto"/>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61" w:hRule="exact"/>
          <w:jc w:val="center"/>
        </w:trPr>
        <w:tc>
          <w:tcPr>
            <w:tcW w:w="0" w:type="auto"/>
            <w:vMerge w:val="restart"/>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地形地貌</w:t>
            </w:r>
          </w:p>
          <w:p>
            <w:pPr>
              <w:snapToGrid w:val="0"/>
              <w:spacing w:line="240" w:lineRule="auto"/>
              <w:ind w:firstLine="0" w:firstLineChars="0"/>
              <w:jc w:val="center"/>
              <w:rPr>
                <w:rFonts w:ascii="仿宋" w:hAnsi="仿宋" w:eastAsia="仿宋" w:cs="仿宋"/>
              </w:rPr>
            </w:pPr>
            <w:r>
              <w:rPr>
                <w:rFonts w:hint="eastAsia" w:ascii="仿宋" w:hAnsi="仿宋" w:eastAsia="仿宋" w:cs="仿宋"/>
              </w:rPr>
              <w:t>(X)</w:t>
            </w:r>
          </w:p>
        </w:tc>
        <w:tc>
          <w:tcPr>
            <w:tcW w:w="815" w:type="dxa"/>
            <w:vAlign w:val="center"/>
          </w:tcPr>
          <w:p>
            <w:pPr>
              <w:snapToGrid w:val="0"/>
              <w:spacing w:line="240" w:lineRule="auto"/>
              <w:ind w:firstLine="0" w:firstLineChars="0"/>
              <w:jc w:val="left"/>
              <w:rPr>
                <w:rFonts w:ascii="仿宋" w:hAnsi="仿宋" w:eastAsia="仿宋" w:cs="仿宋"/>
              </w:rPr>
            </w:pPr>
            <w:r>
              <w:rPr>
                <w:rFonts w:hint="eastAsia" w:ascii="仿宋" w:hAnsi="仿宋" w:eastAsia="仿宋" w:cs="仿宋"/>
              </w:rPr>
              <w:t>地貌类型</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侵蚀深切河谷区</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剥蚀侵蚀中山</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高山、极高山区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11" w:hRule="exact"/>
          <w:jc w:val="center"/>
        </w:trPr>
        <w:tc>
          <w:tcPr>
            <w:tcW w:w="0" w:type="auto"/>
            <w:vMerge w:val="continue"/>
            <w:vAlign w:val="center"/>
          </w:tcPr>
          <w:p>
            <w:pPr>
              <w:snapToGrid w:val="0"/>
              <w:spacing w:line="240" w:lineRule="auto"/>
              <w:ind w:firstLine="0" w:firstLineChars="0"/>
              <w:jc w:val="center"/>
              <w:rPr>
                <w:rFonts w:ascii="仿宋" w:hAnsi="仿宋" w:eastAsia="仿宋" w:cs="仿宋"/>
              </w:rPr>
            </w:pPr>
          </w:p>
        </w:tc>
        <w:tc>
          <w:tcPr>
            <w:tcW w:w="815" w:type="dxa"/>
            <w:vAlign w:val="center"/>
          </w:tcPr>
          <w:p>
            <w:pPr>
              <w:snapToGrid w:val="0"/>
              <w:spacing w:line="240" w:lineRule="auto"/>
              <w:ind w:firstLine="0" w:firstLineChars="0"/>
              <w:jc w:val="left"/>
              <w:rPr>
                <w:rFonts w:ascii="仿宋" w:hAnsi="仿宋" w:eastAsia="仿宋" w:cs="仿宋"/>
              </w:rPr>
            </w:pPr>
            <w:r>
              <w:rPr>
                <w:rFonts w:hint="eastAsia" w:ascii="仿宋" w:hAnsi="仿宋" w:eastAsia="仿宋" w:cs="仿宋"/>
              </w:rPr>
              <w:t>地形条件</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地形坡度大于60°。</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地形坡度40～60°</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地形坡度小于40°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18" w:hRule="exact"/>
          <w:jc w:val="center"/>
        </w:trPr>
        <w:tc>
          <w:tcPr>
            <w:tcW w:w="0" w:type="auto"/>
            <w:vMerge w:val="restart"/>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气候植被条件(Q)</w:t>
            </w: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降雨量</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0.05</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年均降雨量大于1000mm</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年均降雨量800～1000mm</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年均降雨量小于800mm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97" w:hRule="exact"/>
          <w:jc w:val="center"/>
        </w:trPr>
        <w:tc>
          <w:tcPr>
            <w:tcW w:w="0" w:type="auto"/>
            <w:vMerge w:val="continue"/>
            <w:vAlign w:val="center"/>
          </w:tcPr>
          <w:p>
            <w:pPr>
              <w:snapToGrid w:val="0"/>
              <w:spacing w:line="240" w:lineRule="auto"/>
              <w:ind w:firstLine="0" w:firstLineChars="0"/>
              <w:jc w:val="center"/>
              <w:rPr>
                <w:rFonts w:ascii="仿宋" w:hAnsi="仿宋" w:eastAsia="仿宋" w:cs="仿宋"/>
              </w:rPr>
            </w:pP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植被</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0.05</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植被覆盖率小于40％</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植被覆盖率40～60％</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植被覆盖率大于60％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005" w:hRule="exact"/>
          <w:jc w:val="center"/>
        </w:trPr>
        <w:tc>
          <w:tcPr>
            <w:tcW w:w="0" w:type="auto"/>
            <w:vMerge w:val="restart"/>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地质条件</w:t>
            </w:r>
          </w:p>
          <w:p>
            <w:pPr>
              <w:snapToGrid w:val="0"/>
              <w:spacing w:line="240" w:lineRule="auto"/>
              <w:ind w:firstLine="0" w:firstLineChars="0"/>
              <w:jc w:val="center"/>
              <w:rPr>
                <w:rFonts w:ascii="仿宋" w:hAnsi="仿宋" w:eastAsia="仿宋" w:cs="仿宋"/>
              </w:rPr>
            </w:pPr>
            <w:r>
              <w:rPr>
                <w:rFonts w:hint="eastAsia" w:ascii="仿宋" w:hAnsi="仿宋" w:eastAsia="仿宋" w:cs="仿宋"/>
              </w:rPr>
              <w:t>(D)</w:t>
            </w: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地层岩性</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火成岩和侵入岩为主，花岗岩、闪长岩等</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奥陶系、石炭系、二叠系、三叠系变质砂岩、板岩、大理岩、灰岩等</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松散土体，志留系、泥盆系千枚岩、板岩、页岩等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91" w:hRule="exact"/>
          <w:jc w:val="center"/>
        </w:trPr>
        <w:tc>
          <w:tcPr>
            <w:tcW w:w="0" w:type="auto"/>
            <w:vMerge w:val="continue"/>
            <w:vAlign w:val="center"/>
          </w:tcPr>
          <w:p>
            <w:pPr>
              <w:snapToGrid w:val="0"/>
              <w:spacing w:line="240" w:lineRule="auto"/>
              <w:ind w:firstLine="0" w:firstLineChars="0"/>
              <w:jc w:val="center"/>
              <w:rPr>
                <w:rFonts w:ascii="仿宋" w:hAnsi="仿宋" w:eastAsia="仿宋" w:cs="仿宋"/>
              </w:rPr>
            </w:pP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地质构造</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0.05</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强烈抬升区，中央断裂、虎牙断裂、青溪断裂附近，岩层破碎区</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其他分支断裂及褶皱核部，岩体节理裂隙发育</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受构造作用较小，岩体较完整区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708" w:hRule="exact"/>
          <w:jc w:val="center"/>
        </w:trPr>
        <w:tc>
          <w:tcPr>
            <w:tcW w:w="0" w:type="auto"/>
            <w:vMerge w:val="continue"/>
            <w:vAlign w:val="center"/>
          </w:tcPr>
          <w:p>
            <w:pPr>
              <w:snapToGrid w:val="0"/>
              <w:spacing w:line="240" w:lineRule="auto"/>
              <w:ind w:firstLine="0" w:firstLineChars="0"/>
              <w:jc w:val="center"/>
              <w:rPr>
                <w:rFonts w:ascii="仿宋" w:hAnsi="仿宋" w:eastAsia="仿宋" w:cs="仿宋"/>
              </w:rPr>
            </w:pP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斜坡结构类型</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块状岩体斜坡、横向坡、逆向坡</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斜向坡</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松散土体斜坡、顺向坡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837" w:hRule="exact"/>
          <w:jc w:val="center"/>
        </w:trPr>
        <w:tc>
          <w:tcPr>
            <w:tcW w:w="1446" w:type="dxa"/>
            <w:gridSpan w:val="2"/>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人类工程活动（R）</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0.15</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县级及以上主要干道，县城及二级城镇规划建设区，水电站主要工程建设区，重要采矿区，重要旅游景区，大量开挖边坡、人工爆破、涵硐开挖等工程活动</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镇村公路，水电站辅助工程建设区，集镇，居民聚居区，一般旅游景区，采石场，工程开挖边坡量较大</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无公路或水电建设工程，少人区或无人区，工程活动量小，对环境的影响小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472" w:hRule="exact"/>
          <w:jc w:val="center"/>
        </w:trPr>
        <w:tc>
          <w:tcPr>
            <w:tcW w:w="1446" w:type="dxa"/>
            <w:gridSpan w:val="2"/>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崩塌发育现状</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0.3</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存在1处中型以上崩塌或危岩体，常有小规模崩塌或落石发生，灾害点分布密度大于1处/10km2</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小型崩塌发生或存在小型崩塌的危岩体，危岩存在，偶有落石，灾害点分布密度小于1处/10km2</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崩塌或危岩不发育</w:t>
            </w:r>
          </w:p>
        </w:tc>
      </w:tr>
    </w:tbl>
    <w:p>
      <w:pPr>
        <w:snapToGrid w:val="0"/>
        <w:ind w:firstLine="562"/>
        <w:rPr>
          <w:rFonts w:ascii="仿宋" w:hAnsi="仿宋" w:eastAsia="仿宋" w:cs="仿宋"/>
          <w:b/>
          <w:bCs/>
          <w:sz w:val="28"/>
          <w:szCs w:val="28"/>
        </w:rPr>
      </w:pPr>
      <w:r>
        <w:rPr>
          <w:rFonts w:hint="eastAsia" w:ascii="仿宋" w:hAnsi="仿宋" w:eastAsia="仿宋" w:cs="仿宋"/>
          <w:b/>
          <w:bCs/>
          <w:sz w:val="28"/>
          <w:szCs w:val="28"/>
        </w:rPr>
        <w:t>（五）地质灾害易发程度分区</w:t>
      </w:r>
    </w:p>
    <w:p>
      <w:pPr>
        <w:snapToGrid w:val="0"/>
        <w:ind w:firstLine="560"/>
        <w:rPr>
          <w:rFonts w:ascii="仿宋" w:hAnsi="仿宋" w:eastAsia="仿宋" w:cs="仿宋"/>
          <w:sz w:val="28"/>
          <w:szCs w:val="28"/>
        </w:rPr>
      </w:pPr>
      <w:r>
        <w:rPr>
          <w:rFonts w:hint="eastAsia" w:ascii="仿宋" w:hAnsi="仿宋" w:eastAsia="仿宋" w:cs="仿宋"/>
          <w:sz w:val="28"/>
          <w:szCs w:val="28"/>
        </w:rPr>
        <w:t>根据对按滑坡、崩塌（危岩）两灾种的地质灾害易发程度评判结果，进行叠加分析。计算公式如下：</w:t>
      </w:r>
    </w:p>
    <w:p>
      <w:pPr>
        <w:snapToGrid w:val="0"/>
        <w:ind w:firstLine="560"/>
        <w:rPr>
          <w:rFonts w:ascii="仿宋" w:hAnsi="仿宋" w:eastAsia="仿宋" w:cs="仿宋"/>
          <w:sz w:val="28"/>
          <w:szCs w:val="28"/>
        </w:rPr>
      </w:pPr>
      <w:r>
        <w:rPr>
          <w:rFonts w:hint="eastAsia" w:ascii="仿宋" w:hAnsi="仿宋" w:eastAsia="仿宋" w:cs="仿宋"/>
          <w:sz w:val="28"/>
          <w:szCs w:val="28"/>
        </w:rPr>
        <w:t>E发＝E滑∪E崩</w:t>
      </w:r>
    </w:p>
    <w:p>
      <w:pPr>
        <w:snapToGrid w:val="0"/>
        <w:ind w:firstLine="560"/>
        <w:rPr>
          <w:rFonts w:ascii="仿宋" w:hAnsi="仿宋" w:eastAsia="仿宋" w:cs="仿宋"/>
          <w:sz w:val="28"/>
          <w:szCs w:val="28"/>
        </w:rPr>
      </w:pPr>
      <w:r>
        <w:rPr>
          <w:rFonts w:hint="eastAsia" w:ascii="仿宋" w:hAnsi="仿宋" w:eastAsia="仿宋" w:cs="仿宋"/>
          <w:sz w:val="28"/>
          <w:szCs w:val="28"/>
        </w:rPr>
        <w:t>式中：E发——地质灾害易发程度</w:t>
      </w:r>
    </w:p>
    <w:p>
      <w:pPr>
        <w:snapToGrid w:val="0"/>
        <w:ind w:firstLine="560"/>
        <w:rPr>
          <w:rFonts w:ascii="仿宋" w:hAnsi="仿宋" w:eastAsia="仿宋" w:cs="仿宋"/>
          <w:sz w:val="28"/>
          <w:szCs w:val="28"/>
        </w:rPr>
      </w:pPr>
      <w:r>
        <w:rPr>
          <w:rFonts w:hint="eastAsia" w:ascii="仿宋" w:hAnsi="仿宋" w:eastAsia="仿宋" w:cs="仿宋"/>
          <w:sz w:val="28"/>
          <w:szCs w:val="28"/>
        </w:rPr>
        <w:t>E滑——滑坡易发程度</w:t>
      </w:r>
    </w:p>
    <w:p>
      <w:pPr>
        <w:snapToGrid w:val="0"/>
        <w:ind w:firstLine="560"/>
        <w:rPr>
          <w:rFonts w:ascii="仿宋" w:hAnsi="仿宋" w:eastAsia="仿宋" w:cs="仿宋"/>
          <w:sz w:val="28"/>
          <w:szCs w:val="28"/>
        </w:rPr>
      </w:pPr>
      <w:r>
        <w:rPr>
          <w:rFonts w:hint="eastAsia" w:ascii="仿宋" w:hAnsi="仿宋" w:eastAsia="仿宋" w:cs="仿宋"/>
          <w:sz w:val="28"/>
          <w:szCs w:val="28"/>
        </w:rPr>
        <w:t>E崩——崩塌易发程度</w:t>
      </w:r>
    </w:p>
    <w:p>
      <w:pPr>
        <w:snapToGrid w:val="0"/>
        <w:ind w:firstLine="560"/>
        <w:rPr>
          <w:rFonts w:ascii="仿宋" w:hAnsi="仿宋" w:eastAsia="仿宋" w:cs="仿宋"/>
          <w:sz w:val="28"/>
          <w:szCs w:val="28"/>
        </w:rPr>
      </w:pPr>
      <w:r>
        <w:rPr>
          <w:rFonts w:hint="eastAsia" w:ascii="仿宋" w:hAnsi="仿宋" w:eastAsia="仿宋" w:cs="仿宋"/>
          <w:sz w:val="28"/>
          <w:szCs w:val="28"/>
        </w:rPr>
        <w:t>E发＝“A”属地质灾害高易发区，细分为：</w:t>
      </w:r>
    </w:p>
    <w:p>
      <w:pPr>
        <w:snapToGrid w:val="0"/>
        <w:ind w:firstLine="560"/>
        <w:rPr>
          <w:rFonts w:ascii="仿宋" w:hAnsi="仿宋" w:eastAsia="仿宋" w:cs="仿宋"/>
          <w:sz w:val="28"/>
          <w:szCs w:val="28"/>
        </w:rPr>
      </w:pPr>
      <w:r>
        <w:rPr>
          <w:rFonts w:hint="eastAsia" w:ascii="仿宋" w:hAnsi="仿宋" w:eastAsia="仿宋" w:cs="仿宋"/>
          <w:sz w:val="28"/>
          <w:szCs w:val="28"/>
        </w:rPr>
        <w:t>A1  滑坡地质灾害高易发区</w:t>
      </w:r>
    </w:p>
    <w:p>
      <w:pPr>
        <w:snapToGrid w:val="0"/>
        <w:ind w:firstLine="560"/>
        <w:rPr>
          <w:rFonts w:ascii="仿宋" w:hAnsi="仿宋" w:eastAsia="仿宋" w:cs="仿宋"/>
          <w:sz w:val="28"/>
          <w:szCs w:val="28"/>
        </w:rPr>
      </w:pPr>
      <w:r>
        <w:rPr>
          <w:rFonts w:hint="eastAsia" w:ascii="仿宋" w:hAnsi="仿宋" w:eastAsia="仿宋" w:cs="仿宋"/>
          <w:sz w:val="28"/>
          <w:szCs w:val="28"/>
        </w:rPr>
        <w:t>A2  崩塌地质灾害高易发区</w:t>
      </w:r>
    </w:p>
    <w:p>
      <w:pPr>
        <w:snapToGrid w:val="0"/>
        <w:ind w:firstLine="560"/>
        <w:rPr>
          <w:rFonts w:ascii="仿宋" w:hAnsi="仿宋" w:eastAsia="仿宋" w:cs="仿宋"/>
          <w:sz w:val="28"/>
          <w:szCs w:val="28"/>
        </w:rPr>
      </w:pPr>
      <w:r>
        <w:rPr>
          <w:rFonts w:hint="eastAsia" w:ascii="仿宋" w:hAnsi="仿宋" w:eastAsia="仿宋" w:cs="仿宋"/>
          <w:sz w:val="28"/>
          <w:szCs w:val="28"/>
        </w:rPr>
        <w:t>A3  滑坡、崩塌地质灾害高易发区</w:t>
      </w:r>
    </w:p>
    <w:p>
      <w:pPr>
        <w:snapToGrid w:val="0"/>
        <w:ind w:firstLine="560"/>
        <w:rPr>
          <w:rFonts w:ascii="仿宋" w:hAnsi="仿宋" w:eastAsia="仿宋" w:cs="仿宋"/>
          <w:sz w:val="28"/>
          <w:szCs w:val="28"/>
        </w:rPr>
      </w:pPr>
      <w:r>
        <w:rPr>
          <w:rFonts w:hint="eastAsia" w:ascii="仿宋" w:hAnsi="仿宋" w:eastAsia="仿宋" w:cs="仿宋"/>
          <w:sz w:val="28"/>
          <w:szCs w:val="28"/>
        </w:rPr>
        <w:t>E发＝“B”属地质灾害中易发区，细分为：</w:t>
      </w:r>
    </w:p>
    <w:p>
      <w:pPr>
        <w:snapToGrid w:val="0"/>
        <w:ind w:firstLine="560"/>
        <w:rPr>
          <w:rFonts w:ascii="仿宋" w:hAnsi="仿宋" w:eastAsia="仿宋" w:cs="仿宋"/>
          <w:sz w:val="28"/>
          <w:szCs w:val="28"/>
        </w:rPr>
      </w:pPr>
      <w:r>
        <w:rPr>
          <w:rFonts w:hint="eastAsia" w:ascii="仿宋" w:hAnsi="仿宋" w:eastAsia="仿宋" w:cs="仿宋"/>
          <w:sz w:val="28"/>
          <w:szCs w:val="28"/>
        </w:rPr>
        <w:t>B1  滑坡地质灾害中易发区</w:t>
      </w:r>
    </w:p>
    <w:p>
      <w:pPr>
        <w:snapToGrid w:val="0"/>
        <w:ind w:firstLine="560"/>
        <w:rPr>
          <w:rFonts w:ascii="仿宋" w:hAnsi="仿宋" w:eastAsia="仿宋" w:cs="仿宋"/>
          <w:sz w:val="28"/>
          <w:szCs w:val="28"/>
        </w:rPr>
      </w:pPr>
      <w:r>
        <w:rPr>
          <w:rFonts w:hint="eastAsia" w:ascii="仿宋" w:hAnsi="仿宋" w:eastAsia="仿宋" w:cs="仿宋"/>
          <w:sz w:val="28"/>
          <w:szCs w:val="28"/>
        </w:rPr>
        <w:t>B2  崩塌地质灾害中易发区</w:t>
      </w:r>
    </w:p>
    <w:p>
      <w:pPr>
        <w:snapToGrid w:val="0"/>
        <w:ind w:firstLine="560"/>
        <w:rPr>
          <w:rFonts w:ascii="仿宋" w:hAnsi="仿宋" w:eastAsia="仿宋" w:cs="仿宋"/>
          <w:sz w:val="28"/>
          <w:szCs w:val="28"/>
        </w:rPr>
      </w:pPr>
      <w:r>
        <w:rPr>
          <w:rFonts w:hint="eastAsia" w:ascii="仿宋" w:hAnsi="仿宋" w:eastAsia="仿宋" w:cs="仿宋"/>
          <w:sz w:val="28"/>
          <w:szCs w:val="28"/>
        </w:rPr>
        <w:t>B3  滑坡、崩塌地质灾害中易发区</w:t>
      </w:r>
    </w:p>
    <w:p>
      <w:pPr>
        <w:snapToGrid w:val="0"/>
        <w:ind w:firstLine="560"/>
        <w:rPr>
          <w:rFonts w:ascii="仿宋" w:hAnsi="仿宋" w:eastAsia="仿宋" w:cs="仿宋"/>
          <w:sz w:val="28"/>
          <w:szCs w:val="28"/>
        </w:rPr>
      </w:pPr>
      <w:r>
        <w:rPr>
          <w:rFonts w:hint="eastAsia" w:ascii="仿宋" w:hAnsi="仿宋" w:eastAsia="仿宋" w:cs="仿宋"/>
          <w:sz w:val="28"/>
          <w:szCs w:val="28"/>
        </w:rPr>
        <w:t>E发＝“C”属地质灾害低易发区</w:t>
      </w:r>
    </w:p>
    <w:p>
      <w:pPr>
        <w:pStyle w:val="6"/>
        <w:snapToGrid w:val="0"/>
        <w:spacing w:beforeLines="0" w:afterLines="0"/>
        <w:ind w:firstLine="562" w:firstLineChars="200"/>
        <w:rPr>
          <w:rFonts w:cs="仿宋"/>
          <w:szCs w:val="28"/>
        </w:rPr>
      </w:pPr>
      <w:bookmarkStart w:id="310" w:name="_Toc202757384"/>
      <w:bookmarkStart w:id="311" w:name="_Toc312834561"/>
      <w:bookmarkStart w:id="312" w:name="_Toc312944530"/>
      <w:bookmarkStart w:id="313" w:name="_Toc469046128"/>
      <w:bookmarkStart w:id="314" w:name="_Toc9266"/>
      <w:bookmarkStart w:id="315" w:name="_Toc28389"/>
      <w:r>
        <w:rPr>
          <w:rFonts w:hint="eastAsia" w:cs="仿宋"/>
          <w:szCs w:val="28"/>
        </w:rPr>
        <w:t>四、地质灾害易发分区</w:t>
      </w:r>
      <w:bookmarkEnd w:id="310"/>
      <w:bookmarkEnd w:id="311"/>
      <w:bookmarkEnd w:id="312"/>
      <w:r>
        <w:rPr>
          <w:rFonts w:hint="eastAsia" w:cs="仿宋"/>
          <w:szCs w:val="28"/>
        </w:rPr>
        <w:t>评价</w:t>
      </w:r>
      <w:bookmarkEnd w:id="313"/>
      <w:bookmarkEnd w:id="314"/>
      <w:bookmarkEnd w:id="315"/>
    </w:p>
    <w:p>
      <w:pPr>
        <w:snapToGrid w:val="0"/>
        <w:ind w:firstLine="560"/>
        <w:rPr>
          <w:rFonts w:ascii="仿宋" w:hAnsi="仿宋" w:eastAsia="仿宋" w:cs="仿宋"/>
          <w:sz w:val="28"/>
          <w:szCs w:val="28"/>
        </w:rPr>
      </w:pPr>
      <w:r>
        <w:rPr>
          <w:rFonts w:hint="eastAsia" w:ascii="仿宋" w:hAnsi="仿宋" w:eastAsia="仿宋" w:cs="仿宋"/>
          <w:sz w:val="28"/>
          <w:szCs w:val="28"/>
        </w:rPr>
        <w:t>是根据上述分区原则，按选定的主要区划因子，依据分级指标对各因子分别进行赋值，进行综合计算处理，根据各区划单元统计的指标值。在划分的同时，尽量考虑两次地质灾害发育的完整性及乡镇的行政区划，其界线尽可能与自然分水岭或行政区划界线相符。将五通桥区划分为2个地质灾害高易发区、2个地质灾害中易发区、1个地质灾害低易发区详见下表及附图。</w:t>
      </w:r>
    </w:p>
    <w:p>
      <w:pPr>
        <w:snapToGrid w:val="0"/>
        <w:ind w:firstLine="422"/>
        <w:jc w:val="center"/>
        <w:rPr>
          <w:rFonts w:ascii="仿宋" w:hAnsi="仿宋" w:eastAsia="仿宋" w:cs="仿宋"/>
          <w:b/>
          <w:bCs/>
          <w:sz w:val="21"/>
          <w:szCs w:val="21"/>
        </w:rPr>
      </w:pPr>
      <w:r>
        <w:rPr>
          <w:rFonts w:hint="eastAsia" w:ascii="仿宋" w:hAnsi="仿宋" w:eastAsia="仿宋" w:cs="仿宋"/>
          <w:b/>
          <w:bCs/>
          <w:sz w:val="21"/>
          <w:szCs w:val="21"/>
        </w:rPr>
        <w:t>表4-4  五通桥区地质灾害易发程度分区表</w:t>
      </w:r>
    </w:p>
    <w:tbl>
      <w:tblPr>
        <w:tblStyle w:val="33"/>
        <w:tblW w:w="0" w:type="auto"/>
        <w:tblInd w:w="96" w:type="dxa"/>
        <w:tblLayout w:type="autofit"/>
        <w:tblCellMar>
          <w:top w:w="0" w:type="dxa"/>
          <w:left w:w="28" w:type="dxa"/>
          <w:bottom w:w="0" w:type="dxa"/>
          <w:right w:w="28" w:type="dxa"/>
        </w:tblCellMar>
      </w:tblPr>
      <w:tblGrid>
        <w:gridCol w:w="861"/>
        <w:gridCol w:w="616"/>
        <w:gridCol w:w="2999"/>
        <w:gridCol w:w="791"/>
        <w:gridCol w:w="966"/>
        <w:gridCol w:w="616"/>
        <w:gridCol w:w="336"/>
        <w:gridCol w:w="336"/>
        <w:gridCol w:w="1283"/>
      </w:tblGrid>
      <w:tr>
        <w:tblPrEx>
          <w:tblCellMar>
            <w:top w:w="0" w:type="dxa"/>
            <w:left w:w="28" w:type="dxa"/>
            <w:bottom w:w="0" w:type="dxa"/>
            <w:right w:w="28" w:type="dxa"/>
          </w:tblCellMar>
        </w:tblPrEx>
        <w:trPr>
          <w:trHeight w:val="3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区及代号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亚区代号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分布范围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面积</w:t>
            </w:r>
          </w:p>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km²</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面积占全区比例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地质灾害个数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滑坡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崩塌</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分布密度（个/10km²）</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高易发区（A）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A1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石鳞镇西南部及西坝镇南部低山区。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89.730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19.27%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2.79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A2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金山镇东部红层深丘区。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53.300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2.81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143.030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2.80 </w:t>
            </w:r>
          </w:p>
        </w:tc>
      </w:tr>
      <w:tr>
        <w:tblPrEx>
          <w:tblCellMar>
            <w:top w:w="0" w:type="dxa"/>
            <w:left w:w="28" w:type="dxa"/>
            <w:bottom w:w="0" w:type="dxa"/>
            <w:right w:w="28" w:type="dxa"/>
          </w:tblCellMar>
        </w:tblPrEx>
        <w:trPr>
          <w:trHeight w:val="3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中易发区（B）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B1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蔡金镇西部红层浅丘区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26.810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0.00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B2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牛华镇及金粟镇以西红层浅丘区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168.060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36.09%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0.77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194.870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0.67 </w:t>
            </w:r>
          </w:p>
        </w:tc>
      </w:tr>
      <w:tr>
        <w:tblPrEx>
          <w:tblCellMar>
            <w:top w:w="0" w:type="dxa"/>
            <w:left w:w="28" w:type="dxa"/>
            <w:bottom w:w="0" w:type="dxa"/>
            <w:right w:w="28" w:type="dxa"/>
          </w:tblCellMar>
        </w:tblPrEx>
        <w:trPr>
          <w:trHeight w:val="3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低易发区（C）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竹根、牛华西部、冠英及金粟以南平坝区；西坝北部红层深丘区；蔡金东部红层浅丘区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127.770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0.16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127.770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0.16 </w:t>
            </w:r>
          </w:p>
        </w:tc>
      </w:tr>
    </w:tbl>
    <w:p>
      <w:pPr>
        <w:pStyle w:val="2"/>
        <w:snapToGrid w:val="0"/>
        <w:spacing w:line="360" w:lineRule="auto"/>
      </w:pPr>
    </w:p>
    <w:p>
      <w:pPr>
        <w:pStyle w:val="5"/>
        <w:snapToGrid w:val="0"/>
        <w:spacing w:beforeLines="0"/>
        <w:jc w:val="center"/>
        <w:rPr>
          <w:rStyle w:val="95"/>
          <w:rFonts w:ascii="仿宋" w:hAnsi="仿宋" w:eastAsia="仿宋" w:cs="仿宋"/>
          <w:sz w:val="30"/>
        </w:rPr>
      </w:pPr>
      <w:bookmarkStart w:id="316" w:name="_Toc10181"/>
      <w:bookmarkStart w:id="317" w:name="_Toc23482"/>
      <w:bookmarkStart w:id="318" w:name="_Toc66635312"/>
      <w:bookmarkStart w:id="319" w:name="_Toc4990"/>
      <w:bookmarkStart w:id="320" w:name="_Toc26002"/>
      <w:bookmarkStart w:id="321" w:name="_Toc24975"/>
      <w:bookmarkStart w:id="322" w:name="_Toc28098"/>
      <w:bookmarkStart w:id="323" w:name="_Toc7569"/>
      <w:bookmarkStart w:id="324" w:name="_Toc24701"/>
      <w:bookmarkStart w:id="325" w:name="_Toc2567"/>
      <w:r>
        <w:rPr>
          <w:rStyle w:val="95"/>
          <w:rFonts w:hint="eastAsia" w:ascii="仿宋" w:hAnsi="仿宋" w:eastAsia="仿宋" w:cs="仿宋"/>
          <w:sz w:val="30"/>
        </w:rPr>
        <w:t>第二节 地质灾害风险分区</w:t>
      </w:r>
      <w:bookmarkEnd w:id="316"/>
      <w:bookmarkEnd w:id="317"/>
      <w:bookmarkEnd w:id="318"/>
      <w:bookmarkEnd w:id="319"/>
      <w:bookmarkEnd w:id="320"/>
      <w:bookmarkEnd w:id="321"/>
      <w:bookmarkEnd w:id="322"/>
      <w:bookmarkEnd w:id="323"/>
      <w:bookmarkEnd w:id="324"/>
      <w:bookmarkEnd w:id="325"/>
    </w:p>
    <w:p>
      <w:pPr>
        <w:snapToGrid w:val="0"/>
        <w:ind w:firstLine="560"/>
        <w:rPr>
          <w:rFonts w:ascii="仿宋" w:hAnsi="仿宋" w:eastAsia="仿宋" w:cs="仿宋"/>
          <w:sz w:val="28"/>
          <w:szCs w:val="28"/>
        </w:rPr>
      </w:pPr>
      <w:r>
        <w:rPr>
          <w:rFonts w:hint="eastAsia" w:ascii="仿宋" w:hAnsi="仿宋" w:eastAsia="仿宋" w:cs="仿宋"/>
          <w:sz w:val="28"/>
          <w:szCs w:val="28"/>
        </w:rPr>
        <w:t>依据地质灾害易发程度、孕灾地质条件和承灾体特征，将全区划分为地质灾害中、低风险区两级。</w:t>
      </w:r>
    </w:p>
    <w:p>
      <w:pPr>
        <w:snapToGrid w:val="0"/>
        <w:ind w:firstLine="560"/>
        <w:rPr>
          <w:rFonts w:ascii="仿宋" w:hAnsi="仿宋" w:eastAsia="仿宋" w:cs="仿宋"/>
          <w:sz w:val="28"/>
          <w:szCs w:val="28"/>
        </w:rPr>
      </w:pPr>
      <w:r>
        <w:rPr>
          <w:rFonts w:hint="eastAsia" w:ascii="仿宋" w:hAnsi="仿宋" w:eastAsia="仿宋" w:cs="仿宋"/>
          <w:sz w:val="28"/>
          <w:szCs w:val="28"/>
        </w:rPr>
        <w:t>地质灾害中风险区主要分布于西南部低山区石麟镇-西坝镇丘陵区，金山镇低山区。包括已查明地质灾害隐患33处。</w:t>
      </w:r>
    </w:p>
    <w:p>
      <w:pPr>
        <w:snapToGrid w:val="0"/>
        <w:ind w:firstLine="560"/>
        <w:rPr>
          <w:rFonts w:ascii="仿宋" w:hAnsi="仿宋" w:eastAsia="仿宋" w:cs="仿宋"/>
          <w:sz w:val="28"/>
          <w:szCs w:val="28"/>
        </w:rPr>
      </w:pPr>
      <w:r>
        <w:rPr>
          <w:rFonts w:hint="eastAsia" w:ascii="仿宋" w:hAnsi="仿宋" w:eastAsia="仿宋" w:cs="仿宋"/>
          <w:sz w:val="28"/>
          <w:szCs w:val="28"/>
        </w:rPr>
        <w:t>地质灾害低风险区主要分布于平坝区。包括已查明地质灾害隐患22处。</w:t>
      </w:r>
    </w:p>
    <w:p>
      <w:pPr>
        <w:snapToGrid w:val="0"/>
        <w:ind w:firstLine="422"/>
        <w:jc w:val="center"/>
        <w:rPr>
          <w:rFonts w:ascii="仿宋" w:hAnsi="仿宋" w:eastAsia="仿宋" w:cs="仿宋"/>
          <w:b/>
          <w:bCs/>
          <w:sz w:val="21"/>
          <w:szCs w:val="21"/>
        </w:rPr>
      </w:pPr>
    </w:p>
    <w:p>
      <w:pPr>
        <w:snapToGrid w:val="0"/>
        <w:ind w:firstLine="422"/>
        <w:jc w:val="center"/>
        <w:rPr>
          <w:rFonts w:ascii="仿宋" w:hAnsi="仿宋" w:eastAsia="仿宋" w:cs="仿宋"/>
          <w:b/>
          <w:bCs/>
          <w:sz w:val="21"/>
          <w:szCs w:val="21"/>
        </w:rPr>
      </w:pPr>
      <w:r>
        <w:rPr>
          <w:rFonts w:hint="eastAsia" w:ascii="仿宋" w:hAnsi="仿宋" w:eastAsia="仿宋" w:cs="仿宋"/>
          <w:b/>
          <w:bCs/>
          <w:sz w:val="21"/>
          <w:szCs w:val="21"/>
        </w:rPr>
        <w:t>表4-5  五通桥区地质灾害风险分区表</w:t>
      </w:r>
    </w:p>
    <w:tbl>
      <w:tblPr>
        <w:tblStyle w:val="33"/>
        <w:tblW w:w="0" w:type="auto"/>
        <w:tblInd w:w="96" w:type="dxa"/>
        <w:tblLayout w:type="autofit"/>
        <w:tblCellMar>
          <w:top w:w="0" w:type="dxa"/>
          <w:left w:w="108" w:type="dxa"/>
          <w:bottom w:w="0" w:type="dxa"/>
          <w:right w:w="108" w:type="dxa"/>
        </w:tblCellMar>
      </w:tblPr>
      <w:tblGrid>
        <w:gridCol w:w="1273"/>
        <w:gridCol w:w="762"/>
        <w:gridCol w:w="1713"/>
        <w:gridCol w:w="898"/>
        <w:gridCol w:w="1202"/>
        <w:gridCol w:w="740"/>
        <w:gridCol w:w="489"/>
        <w:gridCol w:w="489"/>
        <w:gridCol w:w="1398"/>
      </w:tblGrid>
      <w:tr>
        <w:tblPrEx>
          <w:tblCellMar>
            <w:top w:w="0" w:type="dxa"/>
            <w:left w:w="108" w:type="dxa"/>
            <w:bottom w:w="0" w:type="dxa"/>
            <w:right w:w="108" w:type="dxa"/>
          </w:tblCellMar>
        </w:tblPrEx>
        <w:trPr>
          <w:trHeight w:val="397"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bookmarkStart w:id="326" w:name="_Toc25710"/>
            <w:r>
              <w:rPr>
                <w:rFonts w:hint="eastAsia" w:ascii="仿宋" w:hAnsi="仿宋" w:eastAsia="仿宋" w:cs="仿宋"/>
                <w:color w:val="000000"/>
                <w:kern w:val="0"/>
                <w:sz w:val="21"/>
                <w:szCs w:val="21"/>
                <w:lang w:bidi="ar"/>
              </w:rPr>
              <w:t>地质灾害风险分区及代号</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亚区代号</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分布范围</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面积/km²</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面积占全区比例%</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地质灾害个数</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滑坡</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崩塌</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分布密度（个/10km²）</w:t>
            </w:r>
          </w:p>
        </w:tc>
      </w:tr>
      <w:tr>
        <w:tblPrEx>
          <w:tblCellMar>
            <w:top w:w="0" w:type="dxa"/>
            <w:left w:w="108" w:type="dxa"/>
            <w:bottom w:w="0" w:type="dxa"/>
            <w:right w:w="108" w:type="dxa"/>
          </w:tblCellMar>
        </w:tblPrEx>
        <w:trPr>
          <w:trHeight w:val="397"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r>
      <w:tr>
        <w:tblPrEx>
          <w:tblCellMar>
            <w:top w:w="0" w:type="dxa"/>
            <w:left w:w="108" w:type="dxa"/>
            <w:bottom w:w="0" w:type="dxa"/>
            <w:right w:w="108" w:type="dxa"/>
          </w:tblCellMar>
        </w:tblPrEx>
        <w:trPr>
          <w:trHeight w:val="397"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地质灾害中风险区（B）</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B1</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西南部低山区石麟镇-西坝镇地质灾害中风险亚区</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49.14</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10.55%</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23</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4.68</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B2</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金山镇低山区地质灾害中风险亚区</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7.72</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1.66%</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12.95</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56.86</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12.21%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33</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5.8</w:t>
            </w:r>
          </w:p>
        </w:tc>
      </w:tr>
      <w:tr>
        <w:tblPrEx>
          <w:tblCellMar>
            <w:top w:w="0" w:type="dxa"/>
            <w:left w:w="108" w:type="dxa"/>
            <w:bottom w:w="0" w:type="dxa"/>
            <w:right w:w="108" w:type="dxa"/>
          </w:tblCellMar>
        </w:tblPrEx>
        <w:trPr>
          <w:trHeight w:val="397"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地质灾害低风险区（C）</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C</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以平坝区为主的地质灾害低风险亚区</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408.81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87.79%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22</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0.54</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408.81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87.79%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22</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0.54</w:t>
            </w:r>
          </w:p>
        </w:tc>
      </w:tr>
      <w:tr>
        <w:tblPrEx>
          <w:tblCellMar>
            <w:top w:w="0" w:type="dxa"/>
            <w:left w:w="108" w:type="dxa"/>
            <w:bottom w:w="0" w:type="dxa"/>
            <w:right w:w="108" w:type="dxa"/>
          </w:tblCellMar>
        </w:tblPrEx>
        <w:trPr>
          <w:trHeight w:val="397" w:hRule="atLeast"/>
        </w:trPr>
        <w:tc>
          <w:tcPr>
            <w:tcW w:w="0" w:type="auto"/>
            <w:gridSpan w:val="2"/>
            <w:tcBorders>
              <w:top w:val="nil"/>
              <w:left w:val="single" w:color="000000" w:sz="8" w:space="0"/>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465.67</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100.00%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55</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1.18</w:t>
            </w:r>
          </w:p>
        </w:tc>
      </w:tr>
    </w:tbl>
    <w:p>
      <w:pPr>
        <w:snapToGrid w:val="0"/>
        <w:ind w:firstLine="560"/>
        <w:rPr>
          <w:rFonts w:ascii="仿宋" w:hAnsi="仿宋" w:eastAsia="仿宋" w:cs="仿宋"/>
          <w:sz w:val="28"/>
          <w:szCs w:val="28"/>
        </w:rPr>
      </w:pPr>
      <w:r>
        <w:rPr>
          <w:rFonts w:hint="eastAsia" w:ascii="仿宋" w:hAnsi="仿宋" w:eastAsia="仿宋" w:cs="仿宋"/>
          <w:sz w:val="28"/>
          <w:szCs w:val="28"/>
        </w:rPr>
        <w:t xml:space="preserve">五通桥区地处四川盆地西南边缘，平坝、丘陵、山地俱存，北高南低，东西向中部倾斜，地貌有平坝、丘陵和低山，以丘陵为主，地层以三叠系、侏罗系砂泥岩为主，地质构造发育一般，降雨丰沛而集中，人类工程经济活动强烈，社会经济发展、人类开发程度、地质灾害发育程度和危害在地域上存在显著差异。矿产资源丰富，矿业活动强烈。丘陵区水土流失较为严重，植被发育程度较差。地质灾害发生频繁，但以小型规模为主，具点多面广、危害大、突发性强等特征，经济损失较为严重。 </w:t>
      </w:r>
    </w:p>
    <w:p>
      <w:pPr>
        <w:snapToGrid w:val="0"/>
        <w:ind w:firstLine="560"/>
        <w:rPr>
          <w:rFonts w:ascii="仿宋" w:hAnsi="仿宋" w:eastAsia="仿宋" w:cs="仿宋"/>
          <w:sz w:val="28"/>
          <w:szCs w:val="28"/>
        </w:rPr>
      </w:pPr>
      <w:r>
        <w:rPr>
          <w:rFonts w:hint="eastAsia" w:ascii="仿宋" w:hAnsi="仿宋" w:eastAsia="仿宋" w:cs="仿宋"/>
          <w:sz w:val="28"/>
          <w:szCs w:val="28"/>
        </w:rPr>
        <w:t>（1）地质灾害中风险区（B）</w:t>
      </w:r>
    </w:p>
    <w:p>
      <w:pPr>
        <w:snapToGrid w:val="0"/>
        <w:ind w:firstLine="560"/>
        <w:rPr>
          <w:rFonts w:ascii="仿宋" w:hAnsi="仿宋" w:eastAsia="仿宋" w:cs="仿宋"/>
          <w:sz w:val="28"/>
          <w:szCs w:val="28"/>
        </w:rPr>
      </w:pPr>
      <w:r>
        <w:rPr>
          <w:rFonts w:hint="eastAsia" w:ascii="仿宋" w:hAnsi="仿宋" w:eastAsia="仿宋" w:cs="仿宋"/>
          <w:sz w:val="28"/>
          <w:szCs w:val="28"/>
        </w:rPr>
        <w:t>1）西南部低山区（石麟镇～西坝镇）滑坡、崩塌（危岩）地质灾害中风险亚区（B1）</w:t>
      </w:r>
    </w:p>
    <w:p>
      <w:pPr>
        <w:snapToGrid w:val="0"/>
        <w:ind w:firstLine="560"/>
        <w:rPr>
          <w:rFonts w:ascii="仿宋" w:hAnsi="仿宋" w:eastAsia="仿宋" w:cs="仿宋"/>
          <w:sz w:val="28"/>
          <w:szCs w:val="28"/>
        </w:rPr>
      </w:pPr>
      <w:r>
        <w:rPr>
          <w:rFonts w:hint="eastAsia" w:ascii="仿宋" w:hAnsi="仿宋" w:eastAsia="仿宋" w:cs="仿宋"/>
          <w:sz w:val="28"/>
          <w:szCs w:val="28"/>
        </w:rPr>
        <w:t>总面积约49.14km</w:t>
      </w:r>
      <w:r>
        <w:rPr>
          <w:rFonts w:hint="eastAsia" w:ascii="仿宋" w:hAnsi="仿宋" w:eastAsia="仿宋" w:cs="仿宋"/>
          <w:sz w:val="28"/>
          <w:szCs w:val="28"/>
          <w:vertAlign w:val="superscript"/>
        </w:rPr>
        <w:t>2</w:t>
      </w:r>
      <w:r>
        <w:rPr>
          <w:rFonts w:hint="eastAsia" w:ascii="仿宋" w:hAnsi="仿宋" w:eastAsia="仿宋" w:cs="仿宋"/>
          <w:sz w:val="28"/>
          <w:szCs w:val="28"/>
        </w:rPr>
        <w:t>，占总面积10.55%。区内地貌属深沟窄谷低山地貌，地势起伏大，坡长且陡，比降大，主要由三叠系上统须家河组地层组成。山顶形态多呈圆状，由砂岩构成的谷坡多形成高30～80m不等的陡崖，局部可见100m以上的陡崖,山脊高程400m～737m，相对高差一般100m～300m，谷坡较陡，沟谷呈“U”形或“V”形发育。受地质环境条件、降雨以及人类工程活动影响，特别是采煤活动对地质环境的破坏较大。</w:t>
      </w:r>
    </w:p>
    <w:p>
      <w:pPr>
        <w:snapToGrid w:val="0"/>
        <w:ind w:firstLine="560"/>
        <w:rPr>
          <w:rFonts w:ascii="仿宋" w:hAnsi="仿宋" w:eastAsia="仿宋" w:cs="仿宋"/>
          <w:sz w:val="28"/>
          <w:szCs w:val="28"/>
        </w:rPr>
      </w:pPr>
      <w:r>
        <w:rPr>
          <w:rFonts w:hint="eastAsia" w:ascii="仿宋" w:hAnsi="仿宋" w:eastAsia="仿宋" w:cs="仿宋"/>
          <w:sz w:val="28"/>
          <w:szCs w:val="28"/>
        </w:rPr>
        <w:t>区内人口较密集，人口密度约为360人/ km</w:t>
      </w:r>
      <w:r>
        <w:rPr>
          <w:rFonts w:hint="eastAsia" w:ascii="仿宋" w:hAnsi="仿宋" w:eastAsia="仿宋" w:cs="仿宋"/>
          <w:sz w:val="28"/>
          <w:szCs w:val="28"/>
          <w:vertAlign w:val="superscript"/>
        </w:rPr>
        <w:t>2</w:t>
      </w:r>
      <w:r>
        <w:rPr>
          <w:rFonts w:hint="eastAsia" w:ascii="仿宋" w:hAnsi="仿宋" w:eastAsia="仿宋" w:cs="仿宋"/>
          <w:sz w:val="28"/>
          <w:szCs w:val="28"/>
        </w:rPr>
        <w:t>。经济较发达，城镇、村庄、主要居民点较密集，以农业耕作为主，人类工程活动较强烈，车（子）福（禄）公路等主干公路通过本区，桫椤沟景区分布在西坝镇，工业以煤矿开采为主，局部煤矿采矿活动强烈（主要分布在石麟镇），农耕活动及民房土建工程发育，开挖回填加载及人工水体活动明显，是区内人口最为密集和人类工程经济活动最频繁的区域。</w:t>
      </w:r>
    </w:p>
    <w:p>
      <w:pPr>
        <w:snapToGrid w:val="0"/>
        <w:ind w:firstLine="560"/>
        <w:rPr>
          <w:rFonts w:ascii="仿宋" w:hAnsi="仿宋" w:eastAsia="仿宋" w:cs="仿宋"/>
          <w:sz w:val="28"/>
          <w:szCs w:val="28"/>
        </w:rPr>
      </w:pPr>
      <w:r>
        <w:rPr>
          <w:rFonts w:hint="eastAsia" w:ascii="仿宋" w:hAnsi="仿宋" w:eastAsia="仿宋" w:cs="仿宋"/>
          <w:sz w:val="28"/>
          <w:szCs w:val="28"/>
        </w:rPr>
        <w:t>据调查本区现有地质灾害点23个，占总数的42%，其中滑坡3处，崩塌（危岩）20处。地质灾害面积密度4.68个/10km</w:t>
      </w:r>
      <w:r>
        <w:rPr>
          <w:rFonts w:hint="eastAsia" w:ascii="仿宋" w:hAnsi="仿宋" w:eastAsia="仿宋" w:cs="仿宋"/>
          <w:sz w:val="28"/>
          <w:szCs w:val="28"/>
          <w:vertAlign w:val="superscript"/>
        </w:rPr>
        <w:t>2</w:t>
      </w:r>
      <w:r>
        <w:rPr>
          <w:rFonts w:hint="eastAsia" w:ascii="仿宋" w:hAnsi="仿宋" w:eastAsia="仿宋" w:cs="仿宋"/>
          <w:sz w:val="28"/>
          <w:szCs w:val="28"/>
        </w:rPr>
        <w:t>，地质灾害规模以小型为主，其中有一处中型崩塌：石麟镇张坳口村9组烧房湾崩塌。地质灾害主要威胁到当地村民生命财产安全。</w:t>
      </w:r>
    </w:p>
    <w:p>
      <w:pPr>
        <w:snapToGrid w:val="0"/>
        <w:ind w:firstLine="560"/>
        <w:rPr>
          <w:rFonts w:ascii="仿宋" w:hAnsi="仿宋" w:eastAsia="仿宋" w:cs="仿宋"/>
          <w:sz w:val="28"/>
          <w:szCs w:val="28"/>
        </w:rPr>
      </w:pPr>
      <w:r>
        <w:rPr>
          <w:rFonts w:hint="eastAsia" w:ascii="仿宋" w:hAnsi="仿宋" w:eastAsia="仿宋" w:cs="仿宋"/>
          <w:sz w:val="28"/>
          <w:szCs w:val="28"/>
        </w:rPr>
        <w:t>2）东部（金山镇）一带滑坡、崩塌（危岩）、滑坡地质灾害中风险亚区（B2）</w:t>
      </w:r>
    </w:p>
    <w:p>
      <w:pPr>
        <w:snapToGrid w:val="0"/>
        <w:ind w:firstLine="560"/>
        <w:rPr>
          <w:rFonts w:ascii="仿宋" w:hAnsi="仿宋" w:eastAsia="仿宋" w:cs="仿宋"/>
          <w:sz w:val="28"/>
          <w:szCs w:val="28"/>
        </w:rPr>
      </w:pPr>
      <w:r>
        <w:rPr>
          <w:rFonts w:hint="eastAsia" w:ascii="仿宋" w:hAnsi="仿宋" w:eastAsia="仿宋" w:cs="仿宋"/>
          <w:sz w:val="28"/>
          <w:szCs w:val="28"/>
        </w:rPr>
        <w:t>该风险亚区位于五通桥区东部，东部与犍为接壤，西部与杨柳镇接壤，面积7.72km</w:t>
      </w:r>
      <w:r>
        <w:rPr>
          <w:rFonts w:hint="eastAsia" w:ascii="仿宋" w:hAnsi="仿宋" w:eastAsia="仿宋" w:cs="仿宋"/>
          <w:sz w:val="28"/>
          <w:szCs w:val="28"/>
          <w:vertAlign w:val="superscript"/>
        </w:rPr>
        <w:t>2，</w:t>
      </w:r>
      <w:r>
        <w:rPr>
          <w:rFonts w:hint="eastAsia" w:ascii="仿宋" w:hAnsi="仿宋" w:eastAsia="仿宋" w:cs="仿宋"/>
          <w:sz w:val="28"/>
          <w:szCs w:val="28"/>
        </w:rPr>
        <w:t>占总面积1.66%。</w:t>
      </w:r>
    </w:p>
    <w:p>
      <w:pPr>
        <w:snapToGrid w:val="0"/>
        <w:ind w:firstLine="560"/>
        <w:rPr>
          <w:rFonts w:ascii="仿宋" w:hAnsi="仿宋" w:eastAsia="仿宋" w:cs="仿宋"/>
          <w:sz w:val="28"/>
          <w:szCs w:val="28"/>
        </w:rPr>
      </w:pPr>
      <w:r>
        <w:rPr>
          <w:rFonts w:hint="eastAsia" w:ascii="仿宋" w:hAnsi="仿宋" w:eastAsia="仿宋" w:cs="仿宋"/>
          <w:sz w:val="28"/>
          <w:szCs w:val="28"/>
        </w:rPr>
        <w:t>区内人口密集，人口密度约为550人/ km</w:t>
      </w:r>
      <w:r>
        <w:rPr>
          <w:rFonts w:hint="eastAsia" w:ascii="仿宋" w:hAnsi="仿宋" w:eastAsia="仿宋" w:cs="仿宋"/>
          <w:sz w:val="28"/>
          <w:szCs w:val="28"/>
          <w:vertAlign w:val="superscript"/>
        </w:rPr>
        <w:t>2</w:t>
      </w:r>
      <w:r>
        <w:rPr>
          <w:rFonts w:hint="eastAsia" w:ascii="仿宋" w:hAnsi="仿宋" w:eastAsia="仿宋" w:cs="仿宋"/>
          <w:sz w:val="28"/>
          <w:szCs w:val="28"/>
        </w:rPr>
        <w:t>。以农耕为主，人类活动较强烈，乡村公路穿越其中。本区气候属中亚热带湿润性季风气候，气候温和，冬暖夏热，年平均气温18℃，降雨量较丰富，年平均降雨量在1100mm～1000mm之间，且多暴雨天气，是引发本区地质灾害的主要因素之一。</w:t>
      </w:r>
    </w:p>
    <w:p>
      <w:pPr>
        <w:snapToGrid w:val="0"/>
        <w:ind w:firstLine="560"/>
        <w:rPr>
          <w:rFonts w:ascii="仿宋" w:hAnsi="仿宋" w:eastAsia="仿宋" w:cs="仿宋"/>
          <w:sz w:val="28"/>
          <w:szCs w:val="28"/>
        </w:rPr>
      </w:pPr>
      <w:r>
        <w:rPr>
          <w:rFonts w:hint="eastAsia" w:ascii="仿宋" w:hAnsi="仿宋" w:eastAsia="仿宋" w:cs="仿宋"/>
          <w:sz w:val="28"/>
          <w:szCs w:val="28"/>
        </w:rPr>
        <w:t>地貌属中切割窄谷脊状深丘陵区，主要由侏罗系中统沙溪庙组地层组成，由砂岩构成的谷坡多形成高30～50m不等的陡崖。相对高差一般在50m左右，局部地方可达100m或更多，地形起伏大，坡长且陡，比降较大。该区地震设防烈度为Ⅵ级。受地质环境条件、降雨以及人类工程活动影响，区内地质灾害发育。</w:t>
      </w:r>
    </w:p>
    <w:p>
      <w:pPr>
        <w:snapToGrid w:val="0"/>
        <w:ind w:firstLine="560"/>
        <w:rPr>
          <w:rFonts w:ascii="仿宋" w:hAnsi="仿宋" w:eastAsia="仿宋" w:cs="仿宋"/>
          <w:sz w:val="28"/>
          <w:szCs w:val="28"/>
        </w:rPr>
      </w:pPr>
      <w:r>
        <w:rPr>
          <w:rFonts w:hint="eastAsia" w:ascii="仿宋" w:hAnsi="仿宋" w:eastAsia="仿宋" w:cs="仿宋"/>
          <w:sz w:val="28"/>
          <w:szCs w:val="28"/>
        </w:rPr>
        <w:t>本区属崩塌、滑坡、采空区塌陷高风险区，一旦成灾造成直接经济损失一般较大。故将本区作为地质灾害重点防治区。区内经济以耕作为主。地貌属中切割窄谷脊状丘陵区，主要由侏罗系中统沙溪庙组地层组成，本区现有地质灾害点10个，占总数的18%，地质灾害面积密度12.95个/10km</w:t>
      </w:r>
      <w:r>
        <w:rPr>
          <w:rFonts w:hint="eastAsia" w:ascii="仿宋" w:hAnsi="仿宋" w:eastAsia="仿宋" w:cs="仿宋"/>
          <w:sz w:val="28"/>
          <w:szCs w:val="28"/>
          <w:vertAlign w:val="superscript"/>
        </w:rPr>
        <w:t>2</w:t>
      </w:r>
      <w:r>
        <w:rPr>
          <w:rFonts w:hint="eastAsia" w:ascii="仿宋" w:hAnsi="仿宋" w:eastAsia="仿宋" w:cs="仿宋"/>
          <w:sz w:val="28"/>
          <w:szCs w:val="28"/>
        </w:rPr>
        <w:t>，其中滑坡1处，崩塌（危岩）9处。地质灾害规模均要为小型，地质灾害规模较大，数目及面积密度大，构成的威胁面较广，严重地制约此地带的经济发展。</w:t>
      </w:r>
    </w:p>
    <w:p>
      <w:pPr>
        <w:snapToGrid w:val="0"/>
        <w:ind w:firstLine="560"/>
        <w:rPr>
          <w:rFonts w:ascii="仿宋" w:hAnsi="仿宋" w:eastAsia="仿宋" w:cs="仿宋"/>
          <w:sz w:val="28"/>
          <w:szCs w:val="28"/>
        </w:rPr>
      </w:pPr>
      <w:r>
        <w:rPr>
          <w:rFonts w:hint="eastAsia" w:ascii="仿宋" w:hAnsi="仿宋" w:eastAsia="仿宋" w:cs="仿宋"/>
          <w:sz w:val="28"/>
          <w:szCs w:val="28"/>
        </w:rPr>
        <w:t>（3）地质灾害低风险区（C）</w:t>
      </w:r>
    </w:p>
    <w:p>
      <w:pPr>
        <w:snapToGrid w:val="0"/>
        <w:ind w:firstLine="560"/>
        <w:rPr>
          <w:rFonts w:ascii="仿宋" w:hAnsi="仿宋" w:eastAsia="仿宋" w:cs="仿宋"/>
          <w:sz w:val="28"/>
          <w:szCs w:val="28"/>
        </w:rPr>
      </w:pPr>
      <w:r>
        <w:rPr>
          <w:rFonts w:hint="eastAsia" w:ascii="仿宋" w:hAnsi="仿宋" w:eastAsia="仿宋" w:cs="仿宋"/>
          <w:sz w:val="28"/>
          <w:szCs w:val="28"/>
        </w:rPr>
        <w:t>1）沫溪河及岷江沿岸平坝区地质灾害低风险亚区（C1）</w:t>
      </w:r>
    </w:p>
    <w:p>
      <w:pPr>
        <w:snapToGrid w:val="0"/>
        <w:ind w:firstLine="560"/>
        <w:rPr>
          <w:rFonts w:ascii="仿宋" w:hAnsi="仿宋" w:eastAsia="仿宋" w:cs="仿宋"/>
          <w:sz w:val="28"/>
          <w:szCs w:val="28"/>
        </w:rPr>
      </w:pPr>
      <w:r>
        <w:rPr>
          <w:rFonts w:hint="eastAsia" w:ascii="仿宋" w:hAnsi="仿宋" w:eastAsia="仿宋" w:cs="仿宋"/>
          <w:sz w:val="28"/>
          <w:szCs w:val="28"/>
        </w:rPr>
        <w:t>该区位于五通桥区中部，主要为岷江沿岸，包括河漫滩和一级阶地分布范围较大，行政区域分布较广主要包括沿岷江和沫溪河流域的竹根镇、金粟镇、冠英镇、西坝镇的部分地区，面积约408.81 km</w:t>
      </w:r>
      <w:r>
        <w:rPr>
          <w:rFonts w:hint="eastAsia" w:ascii="仿宋" w:hAnsi="仿宋" w:eastAsia="仿宋" w:cs="仿宋"/>
          <w:sz w:val="28"/>
          <w:szCs w:val="28"/>
          <w:vertAlign w:val="superscript"/>
        </w:rPr>
        <w:t>2</w:t>
      </w:r>
      <w:r>
        <w:rPr>
          <w:rFonts w:hint="eastAsia" w:ascii="仿宋" w:hAnsi="仿宋" w:eastAsia="仿宋" w:cs="仿宋"/>
          <w:sz w:val="28"/>
          <w:szCs w:val="28"/>
        </w:rPr>
        <w:t>，占全区面积87.79%。地质构造为单斜构造，构造相对简单，属地质灾害低风险区。</w:t>
      </w:r>
    </w:p>
    <w:p>
      <w:pPr>
        <w:snapToGrid w:val="0"/>
        <w:ind w:firstLine="560"/>
        <w:rPr>
          <w:rFonts w:ascii="仿宋" w:hAnsi="仿宋" w:eastAsia="仿宋" w:cs="仿宋"/>
          <w:sz w:val="28"/>
          <w:szCs w:val="28"/>
        </w:rPr>
      </w:pPr>
      <w:r>
        <w:rPr>
          <w:rFonts w:hint="eastAsia" w:ascii="仿宋" w:hAnsi="仿宋" w:eastAsia="仿宋" w:cs="仿宋"/>
          <w:sz w:val="28"/>
          <w:szCs w:val="28"/>
        </w:rPr>
        <w:t>本区气候属中亚热带湿润性季风气候，气候温和，冬暖夏热，年平均气温18℃，降雨量较丰富，年平均降雨量在1150mm～1200mm之间。沿江一带经济发达，以工业为主，工业、农业并存，农业以种植为主，人口分布相当密集。区内分布有大量厂矿企业，属五通桥区政治、文化、经济中心，受地形地貌影响该亚区仍有地质灾害发育，仍有威胁居民生命安全的地质灾害隐患。</w:t>
      </w:r>
    </w:p>
    <w:p>
      <w:pPr>
        <w:pStyle w:val="5"/>
        <w:snapToGrid w:val="0"/>
        <w:spacing w:beforeLines="0"/>
        <w:jc w:val="center"/>
        <w:rPr>
          <w:rStyle w:val="95"/>
          <w:rFonts w:ascii="仿宋" w:hAnsi="仿宋" w:eastAsia="仿宋" w:cs="仿宋"/>
          <w:sz w:val="30"/>
        </w:rPr>
      </w:pPr>
      <w:bookmarkStart w:id="327" w:name="_Toc22800"/>
      <w:bookmarkStart w:id="328" w:name="_Toc14124"/>
      <w:r>
        <w:rPr>
          <w:rStyle w:val="95"/>
          <w:rFonts w:hint="eastAsia" w:ascii="仿宋" w:hAnsi="仿宋" w:eastAsia="仿宋" w:cs="仿宋"/>
          <w:sz w:val="30"/>
        </w:rPr>
        <w:t>第三节 地质灾害防治分区</w:t>
      </w:r>
      <w:bookmarkEnd w:id="326"/>
      <w:bookmarkEnd w:id="327"/>
      <w:bookmarkEnd w:id="328"/>
    </w:p>
    <w:p>
      <w:pPr>
        <w:pStyle w:val="6"/>
        <w:snapToGrid w:val="0"/>
        <w:spacing w:beforeLines="0" w:afterLines="0"/>
        <w:ind w:firstLine="562" w:firstLineChars="200"/>
        <w:rPr>
          <w:rFonts w:cs="仿宋"/>
          <w:szCs w:val="28"/>
        </w:rPr>
      </w:pPr>
      <w:bookmarkStart w:id="329" w:name="_Toc181873154"/>
      <w:bookmarkStart w:id="330" w:name="_Toc181873865"/>
      <w:bookmarkStart w:id="331" w:name="_Toc214158544"/>
      <w:bookmarkStart w:id="332" w:name="_Toc468259824"/>
      <w:bookmarkStart w:id="333" w:name="_Toc468221694"/>
      <w:bookmarkStart w:id="334" w:name="_Toc468260308"/>
      <w:bookmarkStart w:id="335" w:name="_Toc468259686"/>
      <w:bookmarkStart w:id="336" w:name="_Toc342859636"/>
      <w:bookmarkStart w:id="337" w:name="_Toc469046144"/>
      <w:bookmarkStart w:id="338" w:name="_Toc32551"/>
      <w:bookmarkStart w:id="339" w:name="_Toc29816"/>
      <w:r>
        <w:rPr>
          <w:rFonts w:hint="eastAsia" w:cs="仿宋"/>
          <w:szCs w:val="28"/>
        </w:rPr>
        <w:t>一、</w:t>
      </w:r>
      <w:bookmarkEnd w:id="329"/>
      <w:bookmarkEnd w:id="330"/>
      <w:bookmarkEnd w:id="331"/>
      <w:r>
        <w:rPr>
          <w:rFonts w:hint="eastAsia" w:cs="仿宋"/>
          <w:szCs w:val="28"/>
        </w:rPr>
        <w:t>分区原则</w:t>
      </w:r>
      <w:bookmarkEnd w:id="332"/>
      <w:bookmarkEnd w:id="333"/>
      <w:bookmarkEnd w:id="334"/>
      <w:bookmarkEnd w:id="335"/>
      <w:bookmarkEnd w:id="336"/>
      <w:bookmarkEnd w:id="337"/>
      <w:bookmarkEnd w:id="338"/>
      <w:bookmarkEnd w:id="339"/>
    </w:p>
    <w:p>
      <w:pPr>
        <w:snapToGrid w:val="0"/>
        <w:ind w:firstLine="560"/>
        <w:rPr>
          <w:rFonts w:ascii="仿宋" w:hAnsi="仿宋" w:eastAsia="仿宋" w:cs="仿宋"/>
          <w:sz w:val="28"/>
          <w:szCs w:val="28"/>
        </w:rPr>
      </w:pPr>
      <w:r>
        <w:rPr>
          <w:rFonts w:hint="eastAsia" w:ascii="仿宋" w:hAnsi="仿宋" w:eastAsia="仿宋" w:cs="仿宋"/>
          <w:sz w:val="28"/>
          <w:szCs w:val="28"/>
        </w:rPr>
        <w:t>五通桥区</w:t>
      </w:r>
      <w:r>
        <w:rPr>
          <w:rFonts w:hint="eastAsia" w:ascii="仿宋" w:hAnsi="仿宋" w:eastAsia="仿宋" w:cs="仿宋"/>
          <w:sz w:val="28"/>
          <w:szCs w:val="28"/>
          <w:lang w:val="zh-CN"/>
        </w:rPr>
        <w:t>地质灾害防治区划是为各级政府及相关职能部门确定宏观决策和制定地质灾害防治规划提供基础依据资料，依据国务院《地质灾害防治条例》，国土资源部环境司《县（市）地质灾害调查与区划基本要求》及中国地质环境监测院《〈县（市）地质灾害调查与区划基本要求〉实施细则》，本着“以人为本”的指导思想，尽可能减少地质灾害造成人员伤亡和财产损失的原则，有目的、有计划、分步骤地开展地质灾害防治工作。根据全区地质灾害形成的地质环境条件、地质灾害易发区特征，并结合五通桥区国民经济和社会发展规划的经济布局和战略重点进行综合分析，并应遵循以下原则：</w:t>
      </w:r>
      <w:r>
        <w:rPr>
          <w:rFonts w:hint="eastAsia" w:ascii="仿宋" w:hAnsi="仿宋" w:eastAsia="仿宋" w:cs="仿宋"/>
          <w:sz w:val="28"/>
          <w:szCs w:val="28"/>
        </w:rPr>
        <w:t xml:space="preserve"> </w:t>
      </w:r>
    </w:p>
    <w:p>
      <w:pPr>
        <w:snapToGrid w:val="0"/>
        <w:ind w:firstLine="560"/>
        <w:rPr>
          <w:rFonts w:ascii="仿宋" w:hAnsi="仿宋" w:eastAsia="仿宋" w:cs="仿宋"/>
          <w:sz w:val="28"/>
          <w:szCs w:val="28"/>
        </w:rPr>
      </w:pPr>
      <w:bookmarkStart w:id="340" w:name="_Toc468259825"/>
      <w:bookmarkStart w:id="341" w:name="_Toc468259687"/>
      <w:r>
        <w:rPr>
          <w:rFonts w:hint="eastAsia" w:ascii="仿宋" w:hAnsi="仿宋" w:eastAsia="仿宋" w:cs="仿宋"/>
          <w:sz w:val="28"/>
          <w:szCs w:val="28"/>
        </w:rPr>
        <w:t>1、突出“以人为本”的原则</w:t>
      </w:r>
      <w:bookmarkEnd w:id="340"/>
      <w:bookmarkEnd w:id="341"/>
    </w:p>
    <w:p>
      <w:pPr>
        <w:snapToGrid w:val="0"/>
        <w:ind w:firstLine="560"/>
        <w:rPr>
          <w:rFonts w:ascii="仿宋" w:hAnsi="仿宋" w:eastAsia="仿宋" w:cs="仿宋"/>
          <w:sz w:val="28"/>
          <w:szCs w:val="28"/>
        </w:rPr>
      </w:pPr>
      <w:r>
        <w:rPr>
          <w:rFonts w:hint="eastAsia" w:ascii="仿宋" w:hAnsi="仿宋" w:eastAsia="仿宋" w:cs="仿宋"/>
          <w:sz w:val="28"/>
          <w:szCs w:val="28"/>
        </w:rPr>
        <w:t>地质灾害防治目的是保护人民生命财产安全，地质灾害的防治区划必须以保护广大人民群众的利益为根本出发点。尽可能减少地质灾害造成人员伤亡和财产损失。</w:t>
      </w:r>
    </w:p>
    <w:p>
      <w:pPr>
        <w:snapToGrid w:val="0"/>
        <w:ind w:firstLine="560"/>
        <w:rPr>
          <w:rFonts w:ascii="仿宋" w:hAnsi="仿宋" w:eastAsia="仿宋" w:cs="仿宋"/>
          <w:sz w:val="28"/>
          <w:szCs w:val="28"/>
        </w:rPr>
      </w:pPr>
      <w:bookmarkStart w:id="342" w:name="_Toc468259688"/>
      <w:bookmarkStart w:id="343" w:name="_Toc468259826"/>
      <w:r>
        <w:rPr>
          <w:rFonts w:hint="eastAsia" w:ascii="仿宋" w:hAnsi="仿宋" w:eastAsia="仿宋" w:cs="仿宋"/>
          <w:sz w:val="28"/>
          <w:szCs w:val="28"/>
        </w:rPr>
        <w:t>2、“轻重缓急”的原则</w:t>
      </w:r>
      <w:bookmarkEnd w:id="342"/>
      <w:bookmarkEnd w:id="343"/>
    </w:p>
    <w:p>
      <w:pPr>
        <w:snapToGrid w:val="0"/>
        <w:ind w:firstLine="560"/>
        <w:rPr>
          <w:rFonts w:ascii="仿宋" w:hAnsi="仿宋" w:eastAsia="仿宋" w:cs="仿宋"/>
          <w:sz w:val="28"/>
          <w:szCs w:val="28"/>
        </w:rPr>
      </w:pPr>
      <w:r>
        <w:rPr>
          <w:rFonts w:hint="eastAsia" w:ascii="仿宋" w:hAnsi="仿宋" w:eastAsia="仿宋" w:cs="仿宋"/>
          <w:sz w:val="28"/>
          <w:szCs w:val="28"/>
        </w:rPr>
        <w:t>根据地质灾害可能造成危害的轻重，确定不同等级的防治区。</w:t>
      </w:r>
    </w:p>
    <w:p>
      <w:pPr>
        <w:snapToGrid w:val="0"/>
        <w:ind w:firstLine="560"/>
        <w:rPr>
          <w:rFonts w:ascii="仿宋" w:hAnsi="仿宋" w:eastAsia="仿宋" w:cs="仿宋"/>
          <w:sz w:val="28"/>
          <w:szCs w:val="28"/>
        </w:rPr>
      </w:pPr>
      <w:bookmarkStart w:id="344" w:name="_Toc468259827"/>
      <w:bookmarkStart w:id="345" w:name="_Toc468260389"/>
      <w:bookmarkStart w:id="346" w:name="_Toc468259689"/>
      <w:r>
        <w:rPr>
          <w:rFonts w:hint="eastAsia" w:ascii="仿宋" w:hAnsi="仿宋" w:eastAsia="仿宋" w:cs="仿宋"/>
          <w:sz w:val="28"/>
          <w:szCs w:val="28"/>
        </w:rPr>
        <w:t>3、与经济发展同步的原则</w:t>
      </w:r>
      <w:bookmarkEnd w:id="344"/>
      <w:bookmarkEnd w:id="345"/>
      <w:bookmarkEnd w:id="346"/>
    </w:p>
    <w:p>
      <w:pPr>
        <w:snapToGrid w:val="0"/>
        <w:ind w:firstLine="560"/>
        <w:rPr>
          <w:rFonts w:ascii="仿宋" w:hAnsi="仿宋" w:eastAsia="仿宋" w:cs="仿宋"/>
          <w:sz w:val="28"/>
          <w:szCs w:val="28"/>
        </w:rPr>
      </w:pPr>
      <w:r>
        <w:rPr>
          <w:rFonts w:hint="eastAsia" w:ascii="仿宋" w:hAnsi="仿宋" w:eastAsia="仿宋" w:cs="仿宋"/>
          <w:sz w:val="28"/>
          <w:szCs w:val="28"/>
        </w:rPr>
        <w:t>地质灾害防治区划必须考虑五通桥区的经济现状和发展规划，使之与经济发展相协调，更好服务地方经济发展。</w:t>
      </w:r>
    </w:p>
    <w:p>
      <w:pPr>
        <w:pStyle w:val="6"/>
        <w:snapToGrid w:val="0"/>
        <w:spacing w:beforeLines="0" w:afterLines="0"/>
        <w:ind w:firstLine="562" w:firstLineChars="200"/>
        <w:rPr>
          <w:rFonts w:cs="仿宋"/>
          <w:szCs w:val="28"/>
        </w:rPr>
      </w:pPr>
      <w:bookmarkStart w:id="347" w:name="_Toc469046145"/>
      <w:bookmarkStart w:id="348" w:name="_Toc13768"/>
      <w:bookmarkStart w:id="349" w:name="_Toc10190"/>
      <w:bookmarkStart w:id="350" w:name="_Toc342859637"/>
      <w:bookmarkStart w:id="351" w:name="_Toc468259690"/>
      <w:bookmarkStart w:id="352" w:name="_Toc468221695"/>
      <w:bookmarkStart w:id="353" w:name="_Toc468259828"/>
      <w:bookmarkStart w:id="354" w:name="_Toc468260309"/>
      <w:r>
        <w:rPr>
          <w:rFonts w:hint="eastAsia" w:cs="仿宋"/>
          <w:szCs w:val="28"/>
        </w:rPr>
        <w:t>二、分区方法</w:t>
      </w:r>
      <w:bookmarkEnd w:id="347"/>
      <w:bookmarkEnd w:id="348"/>
      <w:bookmarkEnd w:id="349"/>
      <w:bookmarkEnd w:id="350"/>
      <w:bookmarkEnd w:id="351"/>
      <w:bookmarkEnd w:id="352"/>
      <w:bookmarkEnd w:id="353"/>
      <w:bookmarkEnd w:id="354"/>
    </w:p>
    <w:p>
      <w:pPr>
        <w:snapToGrid w:val="0"/>
        <w:ind w:firstLine="560"/>
        <w:rPr>
          <w:rFonts w:ascii="仿宋" w:hAnsi="仿宋" w:eastAsia="仿宋" w:cs="仿宋"/>
          <w:sz w:val="28"/>
          <w:szCs w:val="28"/>
          <w:lang w:val="zh-CN"/>
        </w:rPr>
      </w:pPr>
      <w:r>
        <w:rPr>
          <w:rFonts w:hint="eastAsia" w:ascii="仿宋" w:hAnsi="仿宋" w:eastAsia="仿宋" w:cs="仿宋"/>
          <w:sz w:val="28"/>
          <w:szCs w:val="28"/>
          <w:lang w:val="zh-CN"/>
        </w:rPr>
        <w:t>在弄清地质灾害易发程度分区的基础上，根据地质灾害的危险程度，结合本区经济现状、发展规划和保护目标的重要程度，综合划定不同等级的防治区。①将地质环境条件差、地质灾害高易发、受地质灾害严重或者人口较集中、经济较发达、重要旅游区、国民经济建设规划的重点区域定为地质灾害重点防治工作区；②将地质环境条件较差、地质灾害中低易发、受地质灾害威胁相对较严重或人口较集中、国民经济建设规划的次重点区域定为地质灾害次重点防治工作区；③将地质环境条件一般、地质灾害低易发、国民经济建设规划的一般区域或地质环境条件较好而地质灾害较少发育地区定为地质灾害一般防治工作区。各分区内再根据地质条件、灾害类型及危害程度划分出防治亚区或重点防治地段，并明确重点防治的地质灾害点。根据区域内各地质灾害点受威胁人数和直接经济损失等指标，结合灾害点的危害程度、发展趋势，变形程度，确定重点防治点、次重点防治点及一般防治点。</w:t>
      </w:r>
    </w:p>
    <w:p>
      <w:pPr>
        <w:pStyle w:val="6"/>
        <w:snapToGrid w:val="0"/>
        <w:spacing w:beforeLines="0" w:afterLines="0"/>
        <w:ind w:firstLine="562" w:firstLineChars="200"/>
        <w:rPr>
          <w:rFonts w:cs="仿宋"/>
          <w:szCs w:val="28"/>
        </w:rPr>
      </w:pPr>
      <w:bookmarkStart w:id="355" w:name="_Toc468259810"/>
      <w:bookmarkStart w:id="356" w:name="_Toc469046146"/>
      <w:bookmarkStart w:id="357" w:name="_Toc468221687"/>
      <w:bookmarkStart w:id="358" w:name="_Toc468259672"/>
      <w:bookmarkStart w:id="359" w:name="_Toc468260301"/>
      <w:bookmarkStart w:id="360" w:name="_Toc13414"/>
      <w:bookmarkStart w:id="361" w:name="_Toc24543"/>
      <w:r>
        <w:rPr>
          <w:rFonts w:hint="eastAsia" w:cs="仿宋"/>
          <w:szCs w:val="28"/>
        </w:rPr>
        <w:t>三、</w:t>
      </w:r>
      <w:bookmarkEnd w:id="355"/>
      <w:bookmarkEnd w:id="356"/>
      <w:bookmarkEnd w:id="357"/>
      <w:bookmarkEnd w:id="358"/>
      <w:bookmarkEnd w:id="359"/>
      <w:r>
        <w:rPr>
          <w:rFonts w:hint="eastAsia" w:cs="仿宋"/>
          <w:szCs w:val="28"/>
        </w:rPr>
        <w:t>地质灾害防治分区</w:t>
      </w:r>
      <w:bookmarkEnd w:id="360"/>
      <w:bookmarkEnd w:id="361"/>
    </w:p>
    <w:p>
      <w:pPr>
        <w:snapToGrid w:val="0"/>
        <w:ind w:firstLine="560"/>
        <w:rPr>
          <w:rFonts w:ascii="仿宋" w:hAnsi="仿宋" w:eastAsia="仿宋" w:cs="仿宋"/>
          <w:sz w:val="28"/>
          <w:szCs w:val="28"/>
          <w:lang w:val="zh-CN"/>
        </w:rPr>
      </w:pPr>
      <w:r>
        <w:rPr>
          <w:rFonts w:hint="eastAsia" w:ascii="仿宋" w:hAnsi="仿宋" w:eastAsia="仿宋" w:cs="仿宋"/>
          <w:sz w:val="28"/>
          <w:szCs w:val="28"/>
          <w:lang w:val="zh-CN"/>
        </w:rPr>
        <w:t>根据上述分区原则和方法，将五通桥区划分为地质灾害</w:t>
      </w:r>
      <w:r>
        <w:rPr>
          <w:rFonts w:hint="eastAsia" w:ascii="仿宋" w:hAnsi="仿宋" w:eastAsia="仿宋" w:cs="仿宋"/>
          <w:sz w:val="28"/>
          <w:szCs w:val="28"/>
        </w:rPr>
        <w:t>重点防治区和</w:t>
      </w:r>
      <w:r>
        <w:rPr>
          <w:rFonts w:hint="eastAsia" w:ascii="仿宋" w:hAnsi="仿宋" w:eastAsia="仿宋" w:cs="仿宋"/>
          <w:sz w:val="28"/>
          <w:szCs w:val="28"/>
          <w:lang w:val="zh-CN"/>
        </w:rPr>
        <w:t>一般防治区，</w:t>
      </w:r>
      <w:r>
        <w:rPr>
          <w:rFonts w:hint="eastAsia" w:ascii="仿宋" w:hAnsi="仿宋" w:eastAsia="仿宋" w:cs="仿宋"/>
          <w:sz w:val="28"/>
          <w:szCs w:val="28"/>
        </w:rPr>
        <w:t>3</w:t>
      </w:r>
      <w:r>
        <w:rPr>
          <w:rFonts w:hint="eastAsia" w:ascii="仿宋" w:hAnsi="仿宋" w:eastAsia="仿宋" w:cs="仿宋"/>
          <w:sz w:val="28"/>
          <w:szCs w:val="28"/>
          <w:lang w:val="zh-CN"/>
        </w:rPr>
        <w:t>个大区</w:t>
      </w:r>
      <w:r>
        <w:rPr>
          <w:rFonts w:hint="eastAsia" w:ascii="仿宋" w:hAnsi="仿宋" w:eastAsia="仿宋" w:cs="仿宋"/>
          <w:sz w:val="28"/>
          <w:szCs w:val="28"/>
        </w:rPr>
        <w:t>6</w:t>
      </w:r>
      <w:r>
        <w:rPr>
          <w:rFonts w:hint="eastAsia" w:ascii="仿宋" w:hAnsi="仿宋" w:eastAsia="仿宋" w:cs="仿宋"/>
          <w:sz w:val="28"/>
          <w:szCs w:val="28"/>
          <w:lang w:val="zh-CN"/>
        </w:rPr>
        <w:t>个亚区。详见表</w:t>
      </w:r>
      <w:r>
        <w:rPr>
          <w:rFonts w:hint="eastAsia" w:ascii="仿宋" w:hAnsi="仿宋" w:eastAsia="仿宋" w:cs="仿宋"/>
          <w:sz w:val="28"/>
          <w:szCs w:val="28"/>
        </w:rPr>
        <w:t>4-6</w:t>
      </w:r>
      <w:r>
        <w:rPr>
          <w:rFonts w:hint="eastAsia" w:ascii="仿宋" w:hAnsi="仿宋" w:eastAsia="仿宋" w:cs="仿宋"/>
          <w:sz w:val="28"/>
          <w:szCs w:val="28"/>
          <w:lang w:val="zh-CN"/>
        </w:rPr>
        <w:t>、</w:t>
      </w:r>
      <w:r>
        <w:rPr>
          <w:rFonts w:hint="eastAsia" w:ascii="仿宋" w:hAnsi="仿宋" w:eastAsia="仿宋" w:cs="仿宋"/>
          <w:sz w:val="28"/>
          <w:szCs w:val="28"/>
        </w:rPr>
        <w:t>附表3及</w:t>
      </w:r>
      <w:r>
        <w:rPr>
          <w:rFonts w:hint="eastAsia" w:ascii="仿宋" w:hAnsi="仿宋" w:eastAsia="仿宋" w:cs="仿宋"/>
          <w:sz w:val="28"/>
          <w:szCs w:val="28"/>
          <w:lang w:val="zh-CN"/>
        </w:rPr>
        <w:t>五通桥区地质灾害易发程度分区图(附报告后)。</w:t>
      </w:r>
    </w:p>
    <w:p>
      <w:pPr>
        <w:pStyle w:val="11"/>
        <w:adjustRightInd w:val="0"/>
        <w:snapToGrid w:val="0"/>
        <w:spacing w:line="360" w:lineRule="auto"/>
        <w:ind w:firstLine="422"/>
        <w:jc w:val="center"/>
        <w:rPr>
          <w:rFonts w:ascii="宋体" w:hAnsi="宋体"/>
          <w:b/>
          <w:bCs/>
          <w:sz w:val="24"/>
        </w:rPr>
      </w:pPr>
      <w:r>
        <w:rPr>
          <w:rFonts w:hint="eastAsia" w:ascii="仿宋" w:hAnsi="仿宋" w:eastAsia="仿宋" w:cs="仿宋"/>
          <w:b/>
          <w:bCs/>
          <w:szCs w:val="21"/>
        </w:rPr>
        <w:t>表4-6五通桥区地质灾害防治分区表</w:t>
      </w:r>
    </w:p>
    <w:tbl>
      <w:tblPr>
        <w:tblStyle w:val="33"/>
        <w:tblW w:w="0" w:type="auto"/>
        <w:tblInd w:w="96" w:type="dxa"/>
        <w:tblLayout w:type="autofit"/>
        <w:tblCellMar>
          <w:top w:w="0" w:type="dxa"/>
          <w:left w:w="108" w:type="dxa"/>
          <w:bottom w:w="0" w:type="dxa"/>
          <w:right w:w="108" w:type="dxa"/>
        </w:tblCellMar>
      </w:tblPr>
      <w:tblGrid>
        <w:gridCol w:w="1117"/>
        <w:gridCol w:w="727"/>
        <w:gridCol w:w="2240"/>
        <w:gridCol w:w="957"/>
        <w:gridCol w:w="1030"/>
        <w:gridCol w:w="652"/>
        <w:gridCol w:w="473"/>
        <w:gridCol w:w="473"/>
        <w:gridCol w:w="1295"/>
      </w:tblGrid>
      <w:tr>
        <w:tblPrEx>
          <w:tblCellMar>
            <w:top w:w="0" w:type="dxa"/>
            <w:left w:w="108" w:type="dxa"/>
            <w:bottom w:w="0" w:type="dxa"/>
            <w:right w:w="108" w:type="dxa"/>
          </w:tblCellMar>
        </w:tblPrEx>
        <w:trPr>
          <w:trHeight w:val="45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区及代号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亚区代号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分布范围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面积</w:t>
            </w:r>
          </w:p>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km²</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面积占全区比例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地质灾害个数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滑坡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崩塌</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分布密度（个/10km²）</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r>
      <w:tr>
        <w:tblPrEx>
          <w:tblCellMar>
            <w:top w:w="0" w:type="dxa"/>
            <w:left w:w="108" w:type="dxa"/>
            <w:bottom w:w="0" w:type="dxa"/>
            <w:right w:w="108" w:type="dxa"/>
          </w:tblCellMar>
        </w:tblPrEx>
        <w:trPr>
          <w:trHeight w:val="45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重点防治区（Ⅰ）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Ⅰ1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石鳞镇西南部及西坝镇南部低山区。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89.730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19.27%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2.79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Ⅰ2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金山镇东部红层深丘区。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53.300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2.81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Ⅰ3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G213沿线两侧。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46.630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1.29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189.660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40.73%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2.43 </w:t>
            </w:r>
          </w:p>
        </w:tc>
      </w:tr>
      <w:tr>
        <w:tblPrEx>
          <w:tblCellMar>
            <w:top w:w="0" w:type="dxa"/>
            <w:left w:w="108" w:type="dxa"/>
            <w:bottom w:w="0" w:type="dxa"/>
            <w:right w:w="108" w:type="dxa"/>
          </w:tblCellMar>
        </w:tblPrEx>
        <w:trPr>
          <w:trHeight w:val="45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次重点防治区（Ⅱ）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Ⅱ1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蔡金镇西部红层浅丘区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26.810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0.00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Ⅱ2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牛华镇及金粟镇以西红层浅丘区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121.430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26.08%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0.58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148.240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31.83%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0.47 </w:t>
            </w:r>
          </w:p>
        </w:tc>
      </w:tr>
      <w:tr>
        <w:tblPrEx>
          <w:tblCellMar>
            <w:top w:w="0" w:type="dxa"/>
            <w:left w:w="108" w:type="dxa"/>
            <w:bottom w:w="0" w:type="dxa"/>
            <w:right w:w="108" w:type="dxa"/>
          </w:tblCellMar>
        </w:tblPrEx>
        <w:trPr>
          <w:trHeight w:val="45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一般防治区（Ⅲ）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Ⅲ1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竹根、牛华西部、冠英及金粟以南平坝区；西坝北部红层深丘区；蔡金东部红层浅丘区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127.770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0.16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127.770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0.16 </w:t>
            </w:r>
          </w:p>
        </w:tc>
      </w:tr>
    </w:tbl>
    <w:p>
      <w:pPr>
        <w:ind w:firstLine="480"/>
      </w:pPr>
      <w:bookmarkStart w:id="362" w:name="_Toc14718"/>
      <w:bookmarkStart w:id="363" w:name="_Toc18765"/>
      <w:bookmarkStart w:id="364" w:name="_Toc3105"/>
    </w:p>
    <w:p>
      <w:pPr>
        <w:pStyle w:val="4"/>
        <w:snapToGrid w:val="0"/>
        <w:spacing w:before="0" w:after="0" w:line="360" w:lineRule="auto"/>
        <w:rPr>
          <w:rFonts w:cs="仿宋"/>
          <w:b/>
          <w:bCs/>
        </w:rPr>
      </w:pPr>
      <w:r>
        <w:rPr>
          <w:rFonts w:hint="eastAsia" w:cs="仿宋"/>
          <w:b/>
          <w:bCs/>
        </w:rPr>
        <w:t xml:space="preserve">第五章 </w:t>
      </w:r>
      <w:bookmarkEnd w:id="270"/>
      <w:bookmarkEnd w:id="271"/>
      <w:bookmarkEnd w:id="272"/>
      <w:bookmarkEnd w:id="273"/>
      <w:bookmarkEnd w:id="274"/>
      <w:r>
        <w:rPr>
          <w:rFonts w:hint="eastAsia" w:cs="仿宋"/>
          <w:b/>
          <w:bCs/>
        </w:rPr>
        <w:t>主要任务</w:t>
      </w:r>
      <w:bookmarkEnd w:id="362"/>
      <w:bookmarkEnd w:id="363"/>
      <w:bookmarkEnd w:id="364"/>
    </w:p>
    <w:p>
      <w:pPr>
        <w:pStyle w:val="5"/>
        <w:snapToGrid w:val="0"/>
        <w:spacing w:beforeLines="0"/>
        <w:ind w:left="1205" w:hanging="1205" w:hangingChars="400"/>
        <w:rPr>
          <w:rStyle w:val="95"/>
          <w:rFonts w:ascii="仿宋" w:hAnsi="仿宋" w:eastAsia="仿宋" w:cs="仿宋"/>
          <w:sz w:val="30"/>
        </w:rPr>
      </w:pPr>
      <w:bookmarkStart w:id="365" w:name="_Toc29335"/>
      <w:bookmarkStart w:id="366" w:name="_Toc27110"/>
      <w:bookmarkStart w:id="367" w:name="_Toc11791"/>
      <w:r>
        <w:rPr>
          <w:rStyle w:val="95"/>
          <w:rFonts w:hint="eastAsia" w:ascii="仿宋" w:hAnsi="仿宋" w:eastAsia="仿宋" w:cs="仿宋"/>
          <w:sz w:val="30"/>
        </w:rPr>
        <w:t>第一节 推进隐患识别和风险调查评价，不断夯实地质灾害源头防范基础</w:t>
      </w:r>
      <w:bookmarkEnd w:id="365"/>
      <w:bookmarkEnd w:id="366"/>
      <w:bookmarkEnd w:id="367"/>
    </w:p>
    <w:p>
      <w:pPr>
        <w:pStyle w:val="6"/>
        <w:snapToGrid w:val="0"/>
        <w:spacing w:beforeLines="0" w:afterLines="0"/>
        <w:ind w:firstLine="562" w:firstLineChars="200"/>
        <w:rPr>
          <w:rFonts w:cs="仿宋"/>
          <w:szCs w:val="28"/>
        </w:rPr>
      </w:pPr>
      <w:bookmarkStart w:id="368" w:name="_Toc18727"/>
      <w:bookmarkStart w:id="369" w:name="_Toc28861"/>
      <w:r>
        <w:rPr>
          <w:rFonts w:hint="eastAsia" w:cs="仿宋"/>
          <w:szCs w:val="28"/>
        </w:rPr>
        <w:t>一、全面开展地质灾害风险调查评价</w:t>
      </w:r>
      <w:bookmarkEnd w:id="368"/>
      <w:bookmarkEnd w:id="369"/>
    </w:p>
    <w:p>
      <w:pPr>
        <w:snapToGrid w:val="0"/>
        <w:ind w:firstLine="560"/>
        <w:rPr>
          <w:rFonts w:ascii="仿宋" w:hAnsi="仿宋" w:eastAsia="仿宋" w:cs="仿宋"/>
          <w:sz w:val="28"/>
          <w:szCs w:val="28"/>
        </w:rPr>
      </w:pPr>
      <w:r>
        <w:rPr>
          <w:rFonts w:hint="eastAsia" w:ascii="仿宋" w:hAnsi="仿宋" w:eastAsia="仿宋" w:cs="仿宋"/>
          <w:sz w:val="28"/>
          <w:szCs w:val="28"/>
        </w:rPr>
        <w:t>全覆盖开展我区1：5万地质灾害风险调查，查明地质灾害的动态变化情况、地质灾害承灾体及其易损性、易发性、危险性及地质灾害风险性。健全完善地质灾害风险调查数据库，编制完成全区地质灾害风险区划图，落实差别化管控措施，实现隐患风险精细化管理。将地质灾害风险管控理念融入国土空间规划，科学规划地质灾害高易发区国土空间用途，从源头降低风险系数。对重大交通沿线、江河流域沿岸重点防范区，削坡建房等工程领域，相关主管部门及责任单位应开展风险专项调查评估，夯实地质灾害风险防控基础。</w:t>
      </w:r>
    </w:p>
    <w:p>
      <w:pPr>
        <w:pStyle w:val="6"/>
        <w:snapToGrid w:val="0"/>
        <w:spacing w:beforeLines="0" w:afterLines="0"/>
        <w:ind w:firstLine="562" w:firstLineChars="200"/>
        <w:rPr>
          <w:rFonts w:cs="仿宋"/>
          <w:szCs w:val="28"/>
        </w:rPr>
      </w:pPr>
      <w:bookmarkStart w:id="370" w:name="_Toc8481"/>
      <w:bookmarkStart w:id="371" w:name="_Toc960"/>
      <w:r>
        <w:rPr>
          <w:rFonts w:hint="eastAsia" w:cs="仿宋"/>
          <w:szCs w:val="28"/>
        </w:rPr>
        <w:t>二、推进地质灾害隐患遥感识别</w:t>
      </w:r>
      <w:bookmarkEnd w:id="370"/>
      <w:bookmarkEnd w:id="371"/>
    </w:p>
    <w:p>
      <w:pPr>
        <w:snapToGrid w:val="0"/>
        <w:ind w:firstLine="560"/>
        <w:rPr>
          <w:rFonts w:ascii="仿宋" w:hAnsi="仿宋" w:eastAsia="仿宋" w:cs="仿宋"/>
          <w:sz w:val="28"/>
          <w:szCs w:val="28"/>
        </w:rPr>
      </w:pPr>
      <w:r>
        <w:rPr>
          <w:rFonts w:hint="eastAsia" w:ascii="仿宋" w:hAnsi="仿宋" w:eastAsia="仿宋" w:cs="仿宋"/>
          <w:sz w:val="28"/>
          <w:szCs w:val="28"/>
        </w:rPr>
        <w:t>加强地质灾害隐患遥感识别，围绕“隐患在哪里”，依托省级地质灾害隐患识别分析中心和相关科研院所，综合运用多时序合成孔径雷达干涉测量（InSAR）、激光雷达（LiDAR）等前沿技术提升五通桥区地质灾害风险识别能力。</w:t>
      </w:r>
    </w:p>
    <w:p>
      <w:pPr>
        <w:pStyle w:val="6"/>
        <w:snapToGrid w:val="0"/>
        <w:spacing w:beforeLines="0" w:afterLines="0"/>
        <w:ind w:firstLine="562" w:firstLineChars="200"/>
        <w:rPr>
          <w:rFonts w:cs="仿宋"/>
          <w:szCs w:val="28"/>
        </w:rPr>
      </w:pPr>
      <w:bookmarkStart w:id="372" w:name="_Toc22958"/>
      <w:bookmarkStart w:id="373" w:name="_Toc17667"/>
      <w:r>
        <w:rPr>
          <w:rFonts w:hint="eastAsia" w:cs="仿宋"/>
          <w:szCs w:val="28"/>
        </w:rPr>
        <w:t>三、加强农村切坡建房地质灾害防治</w:t>
      </w:r>
      <w:bookmarkEnd w:id="372"/>
      <w:bookmarkEnd w:id="373"/>
    </w:p>
    <w:p>
      <w:pPr>
        <w:snapToGrid w:val="0"/>
        <w:ind w:firstLine="560"/>
        <w:rPr>
          <w:rFonts w:ascii="仿宋" w:hAnsi="仿宋" w:eastAsia="仿宋" w:cs="仿宋"/>
          <w:sz w:val="28"/>
          <w:szCs w:val="28"/>
        </w:rPr>
      </w:pPr>
      <w:r>
        <w:rPr>
          <w:rFonts w:hint="eastAsia" w:ascii="仿宋" w:hAnsi="仿宋" w:eastAsia="仿宋" w:cs="仿宋"/>
          <w:sz w:val="28"/>
          <w:szCs w:val="28"/>
        </w:rPr>
        <w:t>根据川自然资办发﹝2021﹞3号 “四川省自然资源厅办公室关于加强农村房屋及周边地质灾害防治工作的通知”文件精神，为切实加强农村房屋及周边地质灾害风险隐患排查整治,规范指导农村建房地质灾害防治工作,全力确保人民群众生命财产安全，要高度重视农村切坡建房地质灾害防治工作，具体做到以下几点：</w:t>
      </w:r>
    </w:p>
    <w:p>
      <w:pPr>
        <w:snapToGrid w:val="0"/>
        <w:ind w:firstLine="560"/>
        <w:rPr>
          <w:rFonts w:ascii="仿宋" w:hAnsi="仿宋" w:eastAsia="仿宋" w:cs="仿宋"/>
          <w:sz w:val="28"/>
          <w:szCs w:val="28"/>
        </w:rPr>
      </w:pPr>
      <w:r>
        <w:rPr>
          <w:rFonts w:hint="eastAsia" w:ascii="仿宋" w:hAnsi="仿宋" w:eastAsia="仿宋" w:cs="仿宋"/>
          <w:sz w:val="28"/>
          <w:szCs w:val="28"/>
        </w:rPr>
        <w:t>1、高度重视农村房屋安全工作</w:t>
      </w:r>
    </w:p>
    <w:p>
      <w:pPr>
        <w:snapToGrid w:val="0"/>
        <w:ind w:firstLine="560"/>
        <w:rPr>
          <w:rFonts w:ascii="仿宋" w:hAnsi="仿宋" w:eastAsia="仿宋" w:cs="仿宋"/>
          <w:sz w:val="28"/>
          <w:szCs w:val="28"/>
        </w:rPr>
      </w:pPr>
      <w:r>
        <w:rPr>
          <w:rFonts w:hint="eastAsia" w:ascii="仿宋" w:hAnsi="仿宋" w:eastAsia="仿宋" w:cs="仿宋"/>
          <w:sz w:val="28"/>
          <w:szCs w:val="28"/>
        </w:rPr>
        <w:t>深化对农村房屋安全工作重要性的认识，切实履职尽责，同时不断健全相关机制，常态化开展汛期排查工作的同时重点关注农村房屋及周边地质灾害风险隐患排查整治。</w:t>
      </w:r>
    </w:p>
    <w:p>
      <w:pPr>
        <w:snapToGrid w:val="0"/>
        <w:ind w:firstLine="560"/>
        <w:rPr>
          <w:rFonts w:ascii="仿宋" w:hAnsi="仿宋" w:eastAsia="仿宋" w:cs="仿宋"/>
          <w:sz w:val="28"/>
          <w:szCs w:val="28"/>
        </w:rPr>
      </w:pPr>
      <w:r>
        <w:rPr>
          <w:rFonts w:hint="eastAsia" w:ascii="仿宋" w:hAnsi="仿宋" w:eastAsia="仿宋" w:cs="仿宋"/>
          <w:sz w:val="28"/>
          <w:szCs w:val="28"/>
        </w:rPr>
        <w:t>2、严格规范农村建房选址</w:t>
      </w:r>
    </w:p>
    <w:p>
      <w:pPr>
        <w:snapToGrid w:val="0"/>
        <w:ind w:firstLine="560"/>
        <w:rPr>
          <w:rFonts w:ascii="仿宋" w:hAnsi="仿宋" w:eastAsia="仿宋" w:cs="仿宋"/>
          <w:sz w:val="28"/>
          <w:szCs w:val="28"/>
        </w:rPr>
      </w:pPr>
      <w:r>
        <w:rPr>
          <w:rFonts w:hint="eastAsia" w:ascii="仿宋" w:hAnsi="仿宋" w:eastAsia="仿宋" w:cs="仿宋"/>
          <w:sz w:val="28"/>
          <w:szCs w:val="28"/>
        </w:rPr>
        <w:t>农村房屋建设选址应当符合国土空间规划和用途管制的要求，合理避让滑坡、泥石流、崩塌等地质灾害危险区。同时区自然资源主管部门要规范选址审批程序，要在《农村宅基地和建房(规划许可)审批表》签署意见前，对农村住房建设选址及周边是否位于地质灾害危险区进行现场核实。并严格管控切坡建房，农村住房建设应避免切坡建房，山区新建农房选址困难、实在无法避免切坡堆填的，在农村住房建成完工后，要将建房是否产生新的地质灾害隐患、是否落实相应防灾措施纳入实地核查验收内容。</w:t>
      </w:r>
    </w:p>
    <w:p>
      <w:pPr>
        <w:snapToGrid w:val="0"/>
        <w:ind w:firstLine="560"/>
        <w:rPr>
          <w:rFonts w:ascii="仿宋" w:hAnsi="仿宋" w:eastAsia="仿宋" w:cs="仿宋"/>
          <w:sz w:val="28"/>
          <w:szCs w:val="28"/>
        </w:rPr>
      </w:pPr>
      <w:r>
        <w:rPr>
          <w:rFonts w:hint="eastAsia" w:ascii="仿宋" w:hAnsi="仿宋" w:eastAsia="仿宋" w:cs="仿宋"/>
          <w:sz w:val="28"/>
          <w:szCs w:val="28"/>
        </w:rPr>
        <w:t>3、强化新建工程建设用地地质灾害危险性评估管理</w:t>
      </w:r>
    </w:p>
    <w:p>
      <w:pPr>
        <w:snapToGrid w:val="0"/>
        <w:ind w:firstLine="560"/>
        <w:rPr>
          <w:rFonts w:ascii="仿宋" w:hAnsi="仿宋" w:eastAsia="仿宋" w:cs="仿宋"/>
          <w:sz w:val="28"/>
          <w:szCs w:val="28"/>
        </w:rPr>
      </w:pPr>
      <w:r>
        <w:rPr>
          <w:rFonts w:hint="eastAsia" w:ascii="仿宋" w:hAnsi="仿宋" w:eastAsia="仿宋" w:cs="仿宋"/>
          <w:sz w:val="28"/>
          <w:szCs w:val="28"/>
        </w:rPr>
        <w:t>加强新建工程建设用地地质灾害的危险性评估，尤其是农户集中安置点、农村产业聚集区、特色小镇以及县级以上人民政府确定的其他农村集中开发区域的地质灾害危险性评估工作，严格执行《四川省自然资源厅关于推行开展区域地质灾害危险性评估工作的通知》(川自然资发[2019]47号)规定。对经评估认为可能引发地质灾害或者可能遭受地质灾害危害的，应当配套建设地质灾害治理工程，地质灾害治理工程的设计、施工和验收应当与主体工程的设计、施工、验收同时进行，配套的地质灾害治理工程未经验收或者经验收不合格的，主体工程不得投入使用。</w:t>
      </w:r>
    </w:p>
    <w:p>
      <w:pPr>
        <w:snapToGrid w:val="0"/>
        <w:ind w:firstLine="560"/>
        <w:rPr>
          <w:rFonts w:ascii="仿宋" w:hAnsi="仿宋" w:eastAsia="仿宋" w:cs="仿宋"/>
          <w:sz w:val="28"/>
          <w:szCs w:val="28"/>
        </w:rPr>
      </w:pPr>
      <w:r>
        <w:rPr>
          <w:rFonts w:hint="eastAsia" w:ascii="仿宋" w:hAnsi="仿宋" w:eastAsia="仿宋" w:cs="仿宋"/>
          <w:sz w:val="28"/>
          <w:szCs w:val="28"/>
        </w:rPr>
        <w:t>4、加强地质灾害隐患动态巡排查</w:t>
      </w:r>
    </w:p>
    <w:p>
      <w:pPr>
        <w:snapToGrid w:val="0"/>
        <w:ind w:firstLine="560"/>
        <w:rPr>
          <w:rFonts w:ascii="仿宋" w:hAnsi="仿宋" w:eastAsia="仿宋" w:cs="仿宋"/>
          <w:sz w:val="28"/>
          <w:szCs w:val="28"/>
        </w:rPr>
      </w:pPr>
      <w:r>
        <w:rPr>
          <w:rFonts w:hint="eastAsia" w:ascii="仿宋" w:hAnsi="仿宋" w:eastAsia="仿宋" w:cs="仿宋"/>
          <w:sz w:val="28"/>
          <w:szCs w:val="28"/>
        </w:rPr>
        <w:t>充分发动群众,并紧紧依靠驻守专业地勘队伍力量,将靠山靠崖、临沟临坎的农村房屋及周边纳入地质灾害隐患“汛前排查、汛中巡查、汛后核查”常态化巡查和“雨前排查、雨中巡查、雨后核查”动态排查范畴,对排查发现威胁农村房屋安全的地质灾害隐患，要按照《地质灾害防治条例》等相关要求，实事求是厘清责任，科学分类处置，全力确保安全。</w:t>
      </w:r>
    </w:p>
    <w:p>
      <w:pPr>
        <w:pStyle w:val="5"/>
        <w:snapToGrid w:val="0"/>
        <w:spacing w:beforeLines="0"/>
        <w:rPr>
          <w:rStyle w:val="95"/>
          <w:rFonts w:ascii="仿宋" w:hAnsi="仿宋" w:eastAsia="仿宋" w:cs="仿宋"/>
          <w:sz w:val="30"/>
        </w:rPr>
      </w:pPr>
      <w:bookmarkStart w:id="374" w:name="_Toc4647"/>
      <w:bookmarkStart w:id="375" w:name="_Toc12295"/>
      <w:bookmarkStart w:id="376" w:name="_Toc18824"/>
      <w:r>
        <w:rPr>
          <w:rStyle w:val="95"/>
          <w:rFonts w:hint="eastAsia" w:ascii="仿宋" w:hAnsi="仿宋" w:eastAsia="仿宋" w:cs="仿宋"/>
          <w:sz w:val="30"/>
        </w:rPr>
        <w:t>第二节 推行隐患点和风险区双控模式，构建地质灾害风险双控格局</w:t>
      </w:r>
      <w:bookmarkEnd w:id="374"/>
      <w:bookmarkEnd w:id="375"/>
      <w:bookmarkEnd w:id="376"/>
    </w:p>
    <w:p>
      <w:pPr>
        <w:pStyle w:val="6"/>
        <w:snapToGrid w:val="0"/>
        <w:spacing w:beforeLines="0" w:afterLines="0"/>
        <w:ind w:firstLine="562" w:firstLineChars="200"/>
        <w:rPr>
          <w:rFonts w:cs="仿宋"/>
          <w:szCs w:val="28"/>
        </w:rPr>
      </w:pPr>
      <w:bookmarkStart w:id="377" w:name="_Toc18820"/>
      <w:bookmarkStart w:id="378" w:name="_Toc23717"/>
      <w:r>
        <w:rPr>
          <w:rFonts w:hint="eastAsia" w:cs="仿宋"/>
          <w:szCs w:val="28"/>
        </w:rPr>
        <w:t>一、建立地质灾害风险双控管理体系</w:t>
      </w:r>
      <w:bookmarkEnd w:id="377"/>
      <w:bookmarkEnd w:id="378"/>
    </w:p>
    <w:p>
      <w:pPr>
        <w:snapToGrid w:val="0"/>
        <w:ind w:firstLine="560"/>
        <w:rPr>
          <w:rFonts w:ascii="仿宋" w:hAnsi="仿宋" w:eastAsia="仿宋" w:cs="仿宋"/>
          <w:sz w:val="28"/>
          <w:szCs w:val="28"/>
        </w:rPr>
      </w:pPr>
      <w:r>
        <w:rPr>
          <w:rFonts w:hint="eastAsia" w:ascii="仿宋" w:hAnsi="仿宋" w:eastAsia="仿宋" w:cs="仿宋"/>
          <w:sz w:val="28"/>
          <w:szCs w:val="28"/>
        </w:rPr>
        <w:t xml:space="preserve">建立地质灾害风险双控管理体系。积极推进地质灾害风险调查评价成果应用，开展地质灾害风险双控试点，探索构建地质灾害隐患点“专职监测员”和地质灾害风险区“网格员”双控体系，不断完善“网格化”管理机制。推动构建地质灾害风险管控联动联控机制和互联互通风险管控平台，加强汛期地质灾害风险管控。 </w:t>
      </w:r>
    </w:p>
    <w:p>
      <w:pPr>
        <w:pStyle w:val="6"/>
        <w:snapToGrid w:val="0"/>
        <w:spacing w:beforeLines="0" w:afterLines="0"/>
        <w:ind w:firstLine="562" w:firstLineChars="200"/>
        <w:rPr>
          <w:rFonts w:cs="仿宋"/>
          <w:szCs w:val="28"/>
        </w:rPr>
      </w:pPr>
      <w:bookmarkStart w:id="379" w:name="_Toc11712"/>
      <w:bookmarkStart w:id="380" w:name="_Toc30882"/>
      <w:r>
        <w:rPr>
          <w:rFonts w:hint="eastAsia" w:cs="仿宋"/>
          <w:szCs w:val="28"/>
        </w:rPr>
        <w:t>二、加强国土空间规划管控和用途管制</w:t>
      </w:r>
      <w:bookmarkEnd w:id="379"/>
      <w:bookmarkEnd w:id="380"/>
    </w:p>
    <w:p>
      <w:pPr>
        <w:snapToGrid w:val="0"/>
        <w:ind w:firstLine="560"/>
        <w:rPr>
          <w:rFonts w:ascii="仿宋" w:hAnsi="仿宋" w:eastAsia="仿宋" w:cs="仿宋"/>
          <w:sz w:val="28"/>
          <w:szCs w:val="28"/>
        </w:rPr>
      </w:pPr>
      <w:r>
        <w:rPr>
          <w:rFonts w:hint="eastAsia" w:ascii="仿宋" w:hAnsi="仿宋" w:eastAsia="仿宋" w:cs="仿宋"/>
          <w:sz w:val="28"/>
          <w:szCs w:val="28"/>
        </w:rPr>
        <w:t xml:space="preserve">加强国土空间规划管控和用途管制。结合国土空间总体规划“双评价”和“双评估”，以地质灾害风险防控为基础，以优化用地布局为导向，以安全稳定和可持续发展为目标，促进地质灾害防治与城镇国土空间规划有效衔接，实现人与自然和谐共生。探索建立地质灾害风险源头管控机制，加强地质灾害高易发区和极高、高风险区国土空间规划和用途管制。严格落实地质灾害易发区工程建设等领域地质灾害危险性评估制度，加强评估成果运用与监管。 </w:t>
      </w:r>
    </w:p>
    <w:p>
      <w:pPr>
        <w:pStyle w:val="6"/>
        <w:snapToGrid w:val="0"/>
        <w:spacing w:beforeLines="0" w:afterLines="0"/>
        <w:ind w:firstLine="562" w:firstLineChars="200"/>
        <w:rPr>
          <w:rFonts w:cs="仿宋"/>
          <w:szCs w:val="28"/>
        </w:rPr>
      </w:pPr>
      <w:bookmarkStart w:id="381" w:name="_Toc17353"/>
      <w:bookmarkStart w:id="382" w:name="_Toc5880"/>
      <w:r>
        <w:rPr>
          <w:rFonts w:hint="eastAsia" w:cs="仿宋"/>
          <w:szCs w:val="28"/>
        </w:rPr>
        <w:t>三、加强地质灾害隐患、风险动态管理</w:t>
      </w:r>
      <w:bookmarkEnd w:id="381"/>
      <w:bookmarkEnd w:id="382"/>
    </w:p>
    <w:p>
      <w:pPr>
        <w:snapToGrid w:val="0"/>
        <w:ind w:firstLine="560"/>
        <w:rPr>
          <w:rFonts w:ascii="仿宋" w:hAnsi="仿宋" w:eastAsia="仿宋" w:cs="仿宋"/>
          <w:sz w:val="28"/>
          <w:szCs w:val="28"/>
        </w:rPr>
      </w:pPr>
      <w:r>
        <w:rPr>
          <w:rFonts w:hint="eastAsia" w:ascii="仿宋" w:hAnsi="仿宋" w:eastAsia="仿宋" w:cs="仿宋"/>
          <w:sz w:val="28"/>
          <w:szCs w:val="28"/>
        </w:rPr>
        <w:t>加强地质灾害隐患、风险动态管理。在地质灾害“雨前排查、雨中巡查、雨后核查”三查基础上，建立完善地质灾害风险排查制度，逐年开展地质灾害隐患点和风险区巡排查，将“网格员”等纳入风险数据库管理，实现对地质灾害隐患数据库及风险区数据库常态化动态更新管理与维护。</w:t>
      </w:r>
    </w:p>
    <w:p>
      <w:pPr>
        <w:snapToGrid w:val="0"/>
        <w:ind w:firstLine="560"/>
        <w:rPr>
          <w:rFonts w:ascii="仿宋" w:hAnsi="仿宋" w:eastAsia="仿宋" w:cs="仿宋"/>
          <w:sz w:val="28"/>
          <w:szCs w:val="28"/>
        </w:rPr>
      </w:pPr>
      <w:r>
        <w:rPr>
          <w:rFonts w:hint="eastAsia" w:ascii="仿宋" w:hAnsi="仿宋" w:eastAsia="仿宋" w:cs="仿宋"/>
          <w:sz w:val="28"/>
          <w:szCs w:val="28"/>
        </w:rPr>
        <w:t>五通桥区自然资源部门要建立健全年度地质灾害隐患排查制度，组织对本地地质灾害隐患点开展经常性巡回检查以及对突发地质灾害点的应急调查。根据上级要求排查工作要做到“隐患排查整100%到位，各镇、各有关部门要按照雨前排查、雨中巡查、雨后核查的要求，聚焦山洪和地质灾害偏重的村镇、集市、景点、桥梁、路段、学校、医院、居民聚居点等人口密集区，沿江两岸、施工场地营地、旅游景区、企业尾矿废渣堆积区等重点部位，地质灾害治理工程、水库水电站、江河防洪工程、在建涉水工程、城市排涝管网、尾矿坝等重要设施，组织专家力量，发动基层干部群众，做到常态化、动态化拉网式人口密集区，沿江两岸、施工场地营地、旅游景区、企业尾矿废渣堆积区等重点部位，地质灾害治理工程、水库水电站、江河防洪工程、在建涉水工程、城市排涝管网、尾矿坝等重要设施，组织专家力量，发动基层干部群众，做到常态化、动态化拉网式100%隐患排查到位。对排查出的隐患逐一登记造册，落实监测、避让、治理措施，实行动态台账管理，抓早抓小、分门别类、闭环管理，确保隐患整治排险100%到位。对短期确实无法消除的隐患要落实应急度汛和防范措施，对已完成整治的要开展好“回头看”。</w:t>
      </w:r>
    </w:p>
    <w:p>
      <w:pPr>
        <w:pStyle w:val="5"/>
        <w:snapToGrid w:val="0"/>
        <w:spacing w:beforeLines="0"/>
        <w:rPr>
          <w:rStyle w:val="95"/>
          <w:rFonts w:ascii="仿宋" w:hAnsi="仿宋" w:eastAsia="仿宋" w:cs="仿宋"/>
          <w:sz w:val="30"/>
        </w:rPr>
      </w:pPr>
      <w:bookmarkStart w:id="383" w:name="_Toc29152"/>
      <w:bookmarkStart w:id="384" w:name="_Toc11156"/>
      <w:bookmarkStart w:id="385" w:name="_Toc7570"/>
      <w:r>
        <w:rPr>
          <w:rStyle w:val="95"/>
          <w:rFonts w:hint="eastAsia" w:ascii="仿宋" w:hAnsi="仿宋" w:eastAsia="仿宋" w:cs="仿宋"/>
          <w:sz w:val="30"/>
        </w:rPr>
        <w:t>第三节 持续着力人防+技防并重，健全完善群专结合监测预警体系</w:t>
      </w:r>
      <w:bookmarkEnd w:id="383"/>
      <w:bookmarkEnd w:id="384"/>
      <w:bookmarkEnd w:id="385"/>
    </w:p>
    <w:p>
      <w:pPr>
        <w:pStyle w:val="6"/>
        <w:snapToGrid w:val="0"/>
        <w:spacing w:beforeLines="0" w:afterLines="0"/>
        <w:ind w:firstLine="562" w:firstLineChars="200"/>
        <w:rPr>
          <w:rFonts w:cs="仿宋"/>
          <w:szCs w:val="28"/>
        </w:rPr>
      </w:pPr>
      <w:bookmarkStart w:id="386" w:name="_Toc25776"/>
      <w:bookmarkStart w:id="387" w:name="_Toc30433"/>
      <w:r>
        <w:rPr>
          <w:rFonts w:hint="eastAsia" w:cs="仿宋"/>
          <w:szCs w:val="28"/>
        </w:rPr>
        <w:t>一、完善地质灾害群测群防网络</w:t>
      </w:r>
      <w:bookmarkEnd w:id="386"/>
      <w:bookmarkEnd w:id="387"/>
    </w:p>
    <w:p>
      <w:pPr>
        <w:snapToGrid w:val="0"/>
        <w:ind w:firstLine="560"/>
        <w:rPr>
          <w:rFonts w:ascii="仿宋" w:hAnsi="仿宋" w:eastAsia="仿宋" w:cs="仿宋"/>
          <w:sz w:val="28"/>
          <w:szCs w:val="28"/>
        </w:rPr>
      </w:pPr>
      <w:r>
        <w:rPr>
          <w:rFonts w:hint="eastAsia" w:ascii="仿宋" w:hAnsi="仿宋" w:eastAsia="仿宋" w:cs="仿宋"/>
          <w:sz w:val="28"/>
          <w:szCs w:val="28"/>
        </w:rPr>
        <w:t>加强技术装备设备配备和业务技能培训。根据地质灾害风险调查评价结果，有针对性地设置重点监测区，开展重点区域监测。完善监测责任人及专职监测员台账管理和奖惩机制，深入推进“青春志愿·守护生命”志愿者参与地质灾害防治工作，提升公众防灾参与度。</w:t>
      </w:r>
    </w:p>
    <w:p>
      <w:pPr>
        <w:pStyle w:val="6"/>
        <w:snapToGrid w:val="0"/>
        <w:spacing w:beforeLines="0" w:afterLines="0"/>
        <w:ind w:firstLine="562" w:firstLineChars="200"/>
        <w:rPr>
          <w:rFonts w:cs="仿宋"/>
          <w:szCs w:val="28"/>
        </w:rPr>
      </w:pPr>
      <w:bookmarkStart w:id="388" w:name="_Toc11727"/>
      <w:bookmarkStart w:id="389" w:name="_Toc23888"/>
      <w:r>
        <w:rPr>
          <w:rFonts w:hint="eastAsia" w:cs="仿宋"/>
          <w:szCs w:val="28"/>
        </w:rPr>
        <w:t>二、推广“空心村”地质灾害群测群防</w:t>
      </w:r>
      <w:bookmarkEnd w:id="388"/>
      <w:bookmarkEnd w:id="389"/>
    </w:p>
    <w:p>
      <w:pPr>
        <w:snapToGrid w:val="0"/>
        <w:ind w:firstLine="560"/>
        <w:rPr>
          <w:rFonts w:ascii="仿宋" w:hAnsi="仿宋" w:eastAsia="仿宋" w:cs="仿宋"/>
          <w:sz w:val="28"/>
          <w:szCs w:val="28"/>
        </w:rPr>
      </w:pPr>
      <w:r>
        <w:rPr>
          <w:rFonts w:hint="eastAsia" w:ascii="仿宋" w:hAnsi="仿宋" w:eastAsia="仿宋" w:cs="仿宋"/>
          <w:sz w:val="28"/>
          <w:szCs w:val="28"/>
        </w:rPr>
        <w:t>根据乐市地灾指办﹝2021﹞2号 《乐山市地质灾害指挥部办公室关于印发乐山市“空心村”地质灾害防治工作方案的通知》文件精神，五通桥区广大山区农村是地质灾害防治工作的重点区域，由于青壮年劳力大量外出务工求学，加之部分地方地质灾害监测员年龄普遍偏大、受威胁群众以老弱妇幼及留守儿童居多等“空心村”化地质灾害防范问题已成为制约基层防灾能力提升的“短板”，各镇要充分认识加强“空心村”地灾防范薄弱环节摸排及查漏补缺工作的重要性、必要性和紧迫性，采取各项措施提升“空心村”地质灾害预警响应、主动避险能力，确保一旦接到预警受威胁群众撤得快、安得稳、有保障，有效化解“空心村”地质灾害防范风险。具体工作方案如下：</w:t>
      </w:r>
    </w:p>
    <w:p>
      <w:pPr>
        <w:snapToGrid w:val="0"/>
        <w:ind w:firstLine="560"/>
        <w:rPr>
          <w:rFonts w:ascii="仿宋" w:hAnsi="仿宋" w:eastAsia="仿宋" w:cs="仿宋"/>
          <w:sz w:val="28"/>
          <w:szCs w:val="28"/>
        </w:rPr>
      </w:pPr>
      <w:r>
        <w:rPr>
          <w:rFonts w:hint="eastAsia" w:ascii="仿宋" w:hAnsi="仿宋" w:eastAsia="仿宋" w:cs="仿宋"/>
          <w:sz w:val="28"/>
          <w:szCs w:val="28"/>
        </w:rPr>
        <w:t>1、区自然资源局要组织各级力量摸清辖区内“空心村”隐患点数量及其转移避让中需要帮扶的人员情况，登记造册、录入市地质环境基础数据填报管理系统中空心村采集表、结对帮扶表，并动态更新；将受帮户、接帮户（人）各 1名家庭常住主要人员纳入接收地质灾害气象风险预警信息范围，确保预警信息能第一时间传到“空心村”并到点到人，提升预警响应时效；充分依靠专业技术支撑单位技术力量，全覆盖“空心村”防灾知识宣传培训和避险演练；积极统筹协调，将有条件的志愿者纳入接帮户，申请予以接帮户适当经费补助。</w:t>
      </w:r>
    </w:p>
    <w:p>
      <w:pPr>
        <w:snapToGrid w:val="0"/>
        <w:ind w:firstLine="560"/>
        <w:rPr>
          <w:rFonts w:ascii="仿宋" w:hAnsi="仿宋" w:eastAsia="仿宋" w:cs="仿宋"/>
          <w:sz w:val="28"/>
          <w:szCs w:val="28"/>
        </w:rPr>
      </w:pPr>
      <w:r>
        <w:rPr>
          <w:rFonts w:hint="eastAsia" w:ascii="仿宋" w:hAnsi="仿宋" w:eastAsia="仿宋" w:cs="仿宋"/>
          <w:sz w:val="28"/>
          <w:szCs w:val="28"/>
        </w:rPr>
        <w:t>2、各镇政府要整合村组干部、监测人、党团员、基层民兵、驻村帮扶干部等骨干力量，对每个需帮扶对象至少落实1个接帮户（人），保证在收到转移通知后，负责受帮农户家庭成员清点，协助实施避险转移，并安排到安全避难场所；明确受帮户、接帮户和村组权责，建立避险帮扶考核机制，掌握结对帮扶运作情况，予以考核；根据考核情况，动态调整接帮户，选择责任心强、能胜任人员担任；完善临时避险点建设，保障转移避险期间群众吃住。</w:t>
      </w:r>
    </w:p>
    <w:p>
      <w:pPr>
        <w:snapToGrid w:val="0"/>
        <w:ind w:firstLine="560"/>
        <w:rPr>
          <w:rFonts w:ascii="仿宋" w:hAnsi="仿宋" w:eastAsia="仿宋" w:cs="仿宋"/>
          <w:sz w:val="28"/>
          <w:szCs w:val="28"/>
        </w:rPr>
      </w:pPr>
      <w:r>
        <w:rPr>
          <w:rFonts w:hint="eastAsia" w:ascii="仿宋" w:hAnsi="仿宋" w:eastAsia="仿宋" w:cs="仿宋"/>
          <w:sz w:val="28"/>
          <w:szCs w:val="28"/>
        </w:rPr>
        <w:t>3、村组在区、镇组织下，识别、掌握“空心村”隐患点需帮扶人员情况，动态更新上报；根据“空心村”隐患点情况，采取受威胁群众互助、邻里互助等方式，选择村组干部、监测员、党团员、骨干群众作为接帮户；发出转移响应后，组织接帮户迅速到位，帮助需帮户转移避让，做好转移期间管控，杜绝人员私自返回。</w:t>
      </w:r>
    </w:p>
    <w:p>
      <w:pPr>
        <w:snapToGrid w:val="0"/>
        <w:ind w:firstLine="560"/>
        <w:rPr>
          <w:rFonts w:ascii="仿宋" w:hAnsi="仿宋" w:eastAsia="仿宋" w:cs="仿宋"/>
          <w:sz w:val="28"/>
          <w:szCs w:val="28"/>
        </w:rPr>
      </w:pPr>
      <w:r>
        <w:rPr>
          <w:rFonts w:hint="eastAsia" w:ascii="仿宋" w:hAnsi="仿宋" w:eastAsia="仿宋" w:cs="仿宋"/>
          <w:sz w:val="28"/>
          <w:szCs w:val="28"/>
        </w:rPr>
        <w:t>4、监测员负责“空心村”隐患点日常监测工作、做好监测记录；收到地质灾害气象风险预警信息、监测设备预警信息时要立即开展监测、核实并持续关注，发现异常情况立即上报。必要情况下立即发出预警避让信息，动员受威胁群众转移避让。</w:t>
      </w:r>
    </w:p>
    <w:p>
      <w:pPr>
        <w:snapToGrid w:val="0"/>
        <w:ind w:firstLine="560"/>
        <w:rPr>
          <w:rFonts w:ascii="仿宋" w:hAnsi="仿宋" w:eastAsia="仿宋" w:cs="仿宋"/>
          <w:sz w:val="28"/>
          <w:szCs w:val="28"/>
        </w:rPr>
      </w:pPr>
      <w:r>
        <w:rPr>
          <w:rFonts w:hint="eastAsia" w:ascii="仿宋" w:hAnsi="仿宋" w:eastAsia="仿宋" w:cs="仿宋"/>
          <w:sz w:val="28"/>
          <w:szCs w:val="28"/>
        </w:rPr>
        <w:t>5、接帮户收到预警信息后，要保持持续关注；接到转移通知后，负责受帮户家庭成员清点、协助实施避险转移，协助安排受帮户到安全场所避险和转移期间吃住；受帮户应对自身安全负责，并主动配合村社组织实施的避险转移。根据川委厅﹝2021﹞34号“关于进一步做好主汛期防汛减灾和地质灾害防治工作切实保障人民群众生命财产安全的通知”文件精神，各镇、各有关部门要严格落实“提前避让、预防避让、主动避让”的刚性要求，在降雨来临前或出现成灾迹象时，要及时采取转移或疏散受灾害威胁人员、关闭或限制使用易受灾害危害场所等预警措施，坚决防止群死群伤事件发生。特别是针对“空心村”，要严格落实避险结对帮扶措施，提升主动避险能力，确保一旦接到预警信息，受威胁群众撤得快、安得稳、有保障。严格落实“三个紧急撤离”，即在危险隐患点发生强降雨时，紧急撤离；接到暴雨蓝色及以上预警或预警信号，立即组织高风险区域群众紧急撤离；出现险情征兆或对险情不能准确研判时，组织受威胁群众紧急避险撤离。坚决落实转移避险措施，对不愿撤离人员要迅速采取强制撤离措施，做到“应转必转、应转尽转”。</w:t>
      </w:r>
    </w:p>
    <w:p>
      <w:pPr>
        <w:pStyle w:val="6"/>
        <w:snapToGrid w:val="0"/>
        <w:spacing w:beforeLines="0" w:afterLines="0"/>
        <w:ind w:firstLine="562" w:firstLineChars="200"/>
        <w:rPr>
          <w:rFonts w:cs="仿宋"/>
          <w:szCs w:val="28"/>
        </w:rPr>
      </w:pPr>
      <w:bookmarkStart w:id="390" w:name="_Toc26437"/>
      <w:bookmarkStart w:id="391" w:name="_Toc25062"/>
      <w:r>
        <w:rPr>
          <w:rFonts w:hint="eastAsia" w:cs="仿宋"/>
          <w:szCs w:val="28"/>
        </w:rPr>
        <w:t>三、加强群专结合监测预警</w:t>
      </w:r>
      <w:bookmarkEnd w:id="390"/>
      <w:r>
        <w:rPr>
          <w:rFonts w:hint="eastAsia" w:cs="仿宋"/>
          <w:szCs w:val="28"/>
        </w:rPr>
        <w:t>，强化数据积累和综合研究</w:t>
      </w:r>
      <w:bookmarkEnd w:id="391"/>
    </w:p>
    <w:p>
      <w:pPr>
        <w:snapToGrid w:val="0"/>
        <w:ind w:firstLine="560"/>
        <w:rPr>
          <w:rFonts w:ascii="仿宋" w:hAnsi="仿宋" w:eastAsia="仿宋" w:cs="仿宋"/>
          <w:sz w:val="28"/>
          <w:szCs w:val="28"/>
        </w:rPr>
      </w:pPr>
      <w:r>
        <w:rPr>
          <w:rFonts w:hint="eastAsia" w:ascii="仿宋" w:hAnsi="仿宋" w:eastAsia="仿宋" w:cs="仿宋"/>
          <w:sz w:val="28"/>
          <w:szCs w:val="28"/>
        </w:rPr>
        <w:t>推动地质灾害自动化专业监测与专职监测融合，加大 GNSS（全球导航卫星系统）地表位移监测仪器、自动化雨量站、裂缝计等普适型专业监测设备安装与应用，充分发挥专业监测实时监测、动态跟踪、快速预警和辅助决策等功能。健全完善地质灾害专业监测设备运行与维护机制，加大政府购买服务力度，探索运用 EPC 工程总承包模式，推动构建“政府主导、专家支撑、专业维护、专人使用”的专业监测预警体系。</w:t>
      </w:r>
    </w:p>
    <w:p>
      <w:pPr>
        <w:snapToGrid w:val="0"/>
        <w:ind w:firstLine="560"/>
        <w:rPr>
          <w:rFonts w:ascii="仿宋" w:hAnsi="仿宋" w:eastAsia="仿宋" w:cs="仿宋"/>
          <w:sz w:val="28"/>
          <w:szCs w:val="28"/>
        </w:rPr>
      </w:pPr>
      <w:r>
        <w:rPr>
          <w:rFonts w:hint="eastAsia" w:ascii="仿宋" w:hAnsi="仿宋" w:eastAsia="仿宋" w:cs="仿宋"/>
          <w:sz w:val="28"/>
          <w:szCs w:val="28"/>
        </w:rPr>
        <w:t>开展我区已建地质灾害专业监测点及监测预警平台的数据传输、信息报送、产品制作、预警发布及对地质灾害极高、高风险区风险管控的支撑服务。加强地质灾害专业监测预警数据的动态跟踪、收集、分析和研究，探索提升技防精准预警水平的有效途径。</w:t>
      </w:r>
    </w:p>
    <w:p>
      <w:pPr>
        <w:pStyle w:val="6"/>
        <w:snapToGrid w:val="0"/>
        <w:spacing w:beforeLines="0" w:afterLines="0"/>
        <w:ind w:firstLine="562" w:firstLineChars="200"/>
        <w:rPr>
          <w:rFonts w:cs="仿宋"/>
          <w:szCs w:val="28"/>
        </w:rPr>
      </w:pPr>
      <w:bookmarkStart w:id="392" w:name="_Toc9446"/>
      <w:bookmarkStart w:id="393" w:name="_Toc5799"/>
      <w:r>
        <w:rPr>
          <w:rFonts w:hint="eastAsia" w:cs="仿宋"/>
          <w:szCs w:val="28"/>
        </w:rPr>
        <w:t>四、推进地质灾害气象风险预警预报</w:t>
      </w:r>
      <w:bookmarkEnd w:id="392"/>
      <w:bookmarkEnd w:id="393"/>
    </w:p>
    <w:p>
      <w:pPr>
        <w:snapToGrid w:val="0"/>
        <w:ind w:firstLine="560"/>
        <w:rPr>
          <w:rFonts w:ascii="仿宋" w:hAnsi="仿宋" w:eastAsia="仿宋" w:cs="仿宋"/>
          <w:sz w:val="28"/>
          <w:szCs w:val="28"/>
        </w:rPr>
      </w:pPr>
      <w:r>
        <w:rPr>
          <w:rFonts w:hint="eastAsia" w:ascii="仿宋" w:hAnsi="仿宋" w:eastAsia="仿宋" w:cs="仿宋"/>
          <w:sz w:val="28"/>
          <w:szCs w:val="28"/>
        </w:rPr>
        <w:t>基于国家、省地质灾害气象预警互联体系建设框架，建立地质灾害气象风险预警预报平台，实现互联互通，提高预警质量和预警效率。结合气象短临预报数据，叠加地质环境条件，开展“实时+短临”地质灾害风险预警服务工作，利用地灾智防APP提升信息推送效率。建立完善资源共享机制，推进自然灾害多灾种预警系统和数据融合，提升预警合力。</w:t>
      </w:r>
    </w:p>
    <w:p>
      <w:pPr>
        <w:pStyle w:val="5"/>
        <w:snapToGrid w:val="0"/>
        <w:spacing w:beforeLines="0"/>
        <w:rPr>
          <w:rStyle w:val="95"/>
          <w:rFonts w:ascii="仿宋" w:hAnsi="仿宋" w:eastAsia="仿宋" w:cs="仿宋"/>
          <w:sz w:val="30"/>
        </w:rPr>
      </w:pPr>
      <w:bookmarkStart w:id="394" w:name="_Toc25800"/>
      <w:bookmarkStart w:id="395" w:name="_Toc12865"/>
      <w:bookmarkStart w:id="396" w:name="_Toc9574"/>
      <w:r>
        <w:rPr>
          <w:rStyle w:val="95"/>
          <w:rFonts w:hint="eastAsia" w:ascii="仿宋" w:hAnsi="仿宋" w:eastAsia="仿宋" w:cs="仿宋"/>
          <w:sz w:val="30"/>
        </w:rPr>
        <w:t>第四节 分类分级实施搬迁与治理，建立地质灾害全域综合整治模式</w:t>
      </w:r>
      <w:bookmarkEnd w:id="394"/>
      <w:bookmarkEnd w:id="395"/>
      <w:bookmarkEnd w:id="396"/>
    </w:p>
    <w:p>
      <w:pPr>
        <w:pStyle w:val="6"/>
        <w:snapToGrid w:val="0"/>
        <w:spacing w:beforeLines="0" w:afterLines="0"/>
        <w:ind w:firstLine="562" w:firstLineChars="200"/>
        <w:rPr>
          <w:rFonts w:cs="仿宋"/>
          <w:szCs w:val="28"/>
        </w:rPr>
      </w:pPr>
      <w:bookmarkStart w:id="397" w:name="_Toc26062"/>
      <w:bookmarkStart w:id="398" w:name="_Toc27406"/>
      <w:r>
        <w:rPr>
          <w:rFonts w:hint="eastAsia" w:cs="仿宋"/>
          <w:szCs w:val="28"/>
        </w:rPr>
        <w:t>一、建立点面结合全域综合整治体系</w:t>
      </w:r>
      <w:bookmarkEnd w:id="397"/>
      <w:bookmarkEnd w:id="398"/>
    </w:p>
    <w:p>
      <w:pPr>
        <w:snapToGrid w:val="0"/>
        <w:ind w:firstLine="560"/>
        <w:rPr>
          <w:rFonts w:ascii="仿宋" w:hAnsi="仿宋" w:eastAsia="仿宋" w:cs="仿宋"/>
          <w:sz w:val="28"/>
          <w:szCs w:val="28"/>
        </w:rPr>
      </w:pPr>
      <w:r>
        <w:rPr>
          <w:rFonts w:hint="eastAsia" w:ascii="仿宋" w:hAnsi="仿宋" w:eastAsia="仿宋" w:cs="仿宋"/>
          <w:sz w:val="28"/>
          <w:szCs w:val="28"/>
        </w:rPr>
        <w:t xml:space="preserve">坚持以防为主、主动防控、综合施策，面上优先降低五通桥区受威胁重点集镇口聚集区地质灾害重大隐患风险，点上突出按照受地质灾害隐患威胁状况分类分级统筹实施搬迁、排危和治理、核实销号，有效降低重大隐患威胁，构建“科学防控、分级防治、系统推进、重点突出”的地质灾害全域综合整治体系。 </w:t>
      </w:r>
    </w:p>
    <w:p>
      <w:pPr>
        <w:pStyle w:val="6"/>
        <w:snapToGrid w:val="0"/>
        <w:spacing w:beforeLines="0" w:afterLines="0"/>
        <w:ind w:firstLine="562" w:firstLineChars="200"/>
        <w:rPr>
          <w:rFonts w:cs="仿宋"/>
          <w:szCs w:val="28"/>
        </w:rPr>
      </w:pPr>
      <w:bookmarkStart w:id="399" w:name="_Toc3244"/>
      <w:bookmarkStart w:id="400" w:name="_Toc12874"/>
      <w:r>
        <w:rPr>
          <w:rFonts w:hint="eastAsia" w:cs="仿宋"/>
          <w:szCs w:val="28"/>
        </w:rPr>
        <w:t>二、地质灾害避险搬迁与治理</w:t>
      </w:r>
      <w:bookmarkEnd w:id="399"/>
      <w:bookmarkEnd w:id="400"/>
    </w:p>
    <w:p>
      <w:pPr>
        <w:snapToGrid w:val="0"/>
        <w:ind w:firstLine="560"/>
        <w:rPr>
          <w:rFonts w:ascii="仿宋" w:hAnsi="仿宋" w:eastAsia="仿宋" w:cs="仿宋"/>
          <w:sz w:val="28"/>
          <w:szCs w:val="28"/>
        </w:rPr>
      </w:pPr>
      <w:r>
        <w:rPr>
          <w:rFonts w:hint="eastAsia" w:ascii="仿宋" w:hAnsi="仿宋" w:eastAsia="仿宋" w:cs="仿宋"/>
          <w:sz w:val="28"/>
          <w:szCs w:val="28"/>
        </w:rPr>
        <w:t>根据本次工作相关技术要求和相关法律法规，本次避险搬迁安置工程区划主要遵循“以人为本、农户自愿、就近安全、安置与发展相结合、与土地整理相结合”的原则，聚焦威胁50人以上的隐患点，按照“能搬则搬、应搬尽搬”原则进行整治，确因威胁学校、医院、场镇、历史文化村落、政府办公场所、重大公用设施、聚居点等无法全面搬迁的隐患点，按照轻重缓急有序开展工程治理。对威胁50人以下险情紧迫，危害突出的隐患点，综合考虑经济合理性，优先采取避险搬迁措施。</w:t>
      </w:r>
    </w:p>
    <w:p>
      <w:pPr>
        <w:snapToGrid w:val="0"/>
        <w:ind w:firstLine="560"/>
        <w:rPr>
          <w:rFonts w:ascii="仿宋" w:hAnsi="仿宋" w:eastAsia="仿宋"/>
        </w:rPr>
      </w:pPr>
      <w:r>
        <w:rPr>
          <w:rFonts w:hint="eastAsia" w:ascii="仿宋" w:hAnsi="仿宋" w:eastAsia="仿宋" w:cs="仿宋"/>
          <w:sz w:val="28"/>
          <w:szCs w:val="28"/>
        </w:rPr>
        <w:t>避险搬迁安置工程区划的目标是：让五通桥区受地质灾害威胁的农户通过避险搬迁工程，能够有一个安全的生产生活环境，逐步达到全区人民都生活在地质灾害影响范围之外为目的。</w:t>
      </w:r>
    </w:p>
    <w:p>
      <w:pPr>
        <w:pStyle w:val="7"/>
        <w:snapToGrid w:val="0"/>
        <w:spacing w:beforeLines="0" w:afterLines="0"/>
        <w:ind w:firstLine="562"/>
        <w:rPr>
          <w:rFonts w:ascii="仿宋" w:hAnsi="仿宋" w:eastAsia="仿宋" w:cs="仿宋"/>
        </w:rPr>
      </w:pPr>
      <w:r>
        <w:rPr>
          <w:rFonts w:hint="eastAsia" w:ascii="仿宋" w:hAnsi="仿宋" w:eastAsia="仿宋" w:cs="仿宋"/>
        </w:rPr>
        <w:t>1、地质灾害隐患搬迁避让</w:t>
      </w:r>
    </w:p>
    <w:p>
      <w:pPr>
        <w:snapToGrid w:val="0"/>
        <w:ind w:firstLine="560"/>
        <w:rPr>
          <w:rFonts w:ascii="仿宋" w:hAnsi="仿宋" w:eastAsia="仿宋" w:cs="仿宋"/>
          <w:sz w:val="28"/>
          <w:szCs w:val="28"/>
        </w:rPr>
      </w:pPr>
      <w:bookmarkStart w:id="401" w:name="_Toc143405817"/>
      <w:bookmarkStart w:id="402" w:name="_Toc136188008"/>
      <w:bookmarkStart w:id="403" w:name="_Toc143011885"/>
      <w:bookmarkStart w:id="404" w:name="_Toc136188282"/>
      <w:bookmarkStart w:id="405" w:name="_Toc143011825"/>
      <w:bookmarkStart w:id="406" w:name="_Toc138319915"/>
      <w:bookmarkStart w:id="407" w:name="_Toc144280297"/>
      <w:bookmarkStart w:id="408" w:name="_Toc136188537"/>
      <w:bookmarkStart w:id="409" w:name="_Toc184204226"/>
      <w:bookmarkStart w:id="410" w:name="_Toc136170457"/>
      <w:bookmarkStart w:id="411" w:name="_Toc154994841"/>
      <w:bookmarkStart w:id="412" w:name="_Toc135075466"/>
      <w:bookmarkStart w:id="413" w:name="_Toc136188460"/>
      <w:bookmarkStart w:id="414" w:name="_Toc143008243"/>
      <w:bookmarkStart w:id="415" w:name="_Toc136189844"/>
      <w:bookmarkStart w:id="416" w:name="OLE_LINK1"/>
      <w:r>
        <w:rPr>
          <w:rFonts w:hint="eastAsia" w:ascii="仿宋" w:hAnsi="仿宋" w:eastAsia="仿宋" w:cs="仿宋"/>
          <w:sz w:val="28"/>
          <w:szCs w:val="28"/>
        </w:rPr>
        <w:t>（1）地质灾害临灾紧急</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Pr>
          <w:rFonts w:hint="eastAsia" w:ascii="仿宋" w:hAnsi="仿宋" w:eastAsia="仿宋" w:cs="仿宋"/>
          <w:sz w:val="28"/>
          <w:szCs w:val="28"/>
        </w:rPr>
        <w:t>避险搬迁</w:t>
      </w:r>
    </w:p>
    <w:bookmarkEnd w:id="416"/>
    <w:p>
      <w:pPr>
        <w:snapToGrid w:val="0"/>
        <w:ind w:firstLine="560"/>
        <w:rPr>
          <w:rFonts w:ascii="仿宋" w:hAnsi="仿宋" w:eastAsia="仿宋" w:cs="仿宋"/>
          <w:sz w:val="28"/>
          <w:szCs w:val="28"/>
        </w:rPr>
      </w:pPr>
      <w:bookmarkStart w:id="417" w:name="_Toc143008245"/>
      <w:bookmarkStart w:id="418" w:name="_Toc143011827"/>
      <w:r>
        <w:rPr>
          <w:rFonts w:hint="eastAsia" w:ascii="仿宋" w:hAnsi="仿宋" w:eastAsia="仿宋" w:cs="仿宋"/>
          <w:sz w:val="28"/>
          <w:szCs w:val="28"/>
        </w:rPr>
        <w:t>通过地质灾害隐患点的监测，预报或警报，地质灾害临灾征兆明显时，应对地质灾害危险区的居民紧急疏散，将人员迁至安全区。疏散计划的内容包括疏散的地域范围、时间期限、交通运输工具及路线</w:t>
      </w:r>
      <w:r>
        <w:rPr>
          <w:rFonts w:hint="eastAsia" w:ascii="仿宋" w:hAnsi="仿宋" w:eastAsia="仿宋" w:cs="仿宋"/>
          <w:sz w:val="28"/>
          <w:szCs w:val="28"/>
          <w:lang w:eastAsia="zh-CN"/>
        </w:rPr>
        <w:t>安</w:t>
      </w:r>
      <w:bookmarkStart w:id="584" w:name="_GoBack"/>
      <w:bookmarkEnd w:id="584"/>
      <w:r>
        <w:rPr>
          <w:rFonts w:hint="eastAsia" w:ascii="仿宋" w:hAnsi="仿宋" w:eastAsia="仿宋" w:cs="仿宋"/>
          <w:sz w:val="28"/>
          <w:szCs w:val="28"/>
        </w:rPr>
        <w:t>排，疏散的具体户数及有关财产的安排，对公路、航道等交通运输有影响进，应明确限制停运的区间及时间，并建立统一指挥的行政组织系统。</w:t>
      </w:r>
    </w:p>
    <w:p>
      <w:pPr>
        <w:snapToGrid w:val="0"/>
        <w:ind w:firstLine="560"/>
        <w:rPr>
          <w:rFonts w:ascii="仿宋" w:hAnsi="仿宋" w:eastAsia="仿宋" w:cs="仿宋"/>
          <w:sz w:val="28"/>
          <w:szCs w:val="28"/>
        </w:rPr>
      </w:pPr>
      <w:r>
        <w:rPr>
          <w:rFonts w:hint="eastAsia" w:ascii="仿宋" w:hAnsi="仿宋" w:eastAsia="仿宋" w:cs="仿宋"/>
          <w:sz w:val="28"/>
          <w:szCs w:val="28"/>
        </w:rPr>
        <w:t>（2）地质灾害区群众的避险搬迁</w:t>
      </w:r>
    </w:p>
    <w:p>
      <w:pPr>
        <w:snapToGrid w:val="0"/>
        <w:ind w:firstLine="560"/>
        <w:rPr>
          <w:rFonts w:ascii="仿宋" w:hAnsi="仿宋" w:eastAsia="仿宋" w:cs="仿宋"/>
          <w:sz w:val="28"/>
          <w:szCs w:val="28"/>
        </w:rPr>
      </w:pPr>
      <w:r>
        <w:rPr>
          <w:rFonts w:hint="eastAsia" w:ascii="仿宋" w:hAnsi="仿宋" w:eastAsia="仿宋" w:cs="仿宋"/>
          <w:sz w:val="28"/>
          <w:szCs w:val="28"/>
        </w:rPr>
        <w:t>对引发因素频繁、临灾征兆明显、治理难度大、治理费用高、威胁对象以农村分散农户为主，采用工程措施不经济的地质灾害隐患点；地质灾害不稳定、临灾征兆明显，经与工程治理方案比较认为搬迁避让技术更可行、经济更合理的地质灾害隐患点；规划列入监测预警的隐患点，经一段时间监测后发现其稳定性恶化，并符合上述搬迁避让条件的地质灾害隐患点；上述地质灾害隐患点应采用搬迁避让手段进行防治。地质灾害避险搬迁措施要应征询地方政府的防灾安排及农户意愿，应根据其紧迫性，分期分批实施，力求做到“搬得出、稳得住、能致富”，可结合城镇建设、景区建设、新农村建设等项目，尽可能使搬迁农户生产生活条件不降低，避免不和谐因素。</w:t>
      </w:r>
    </w:p>
    <w:p>
      <w:pPr>
        <w:snapToGrid w:val="0"/>
        <w:ind w:firstLine="560"/>
        <w:rPr>
          <w:rFonts w:ascii="仿宋" w:hAnsi="仿宋" w:eastAsia="仿宋" w:cs="仿宋"/>
          <w:sz w:val="28"/>
          <w:szCs w:val="28"/>
        </w:rPr>
      </w:pPr>
      <w:r>
        <w:rPr>
          <w:rFonts w:hint="eastAsia" w:ascii="仿宋" w:hAnsi="仿宋" w:eastAsia="仿宋" w:cs="仿宋"/>
          <w:sz w:val="28"/>
          <w:szCs w:val="28"/>
        </w:rPr>
        <w:t>（3）工程建设对地质灾害的避让</w:t>
      </w:r>
    </w:p>
    <w:p>
      <w:pPr>
        <w:snapToGrid w:val="0"/>
        <w:ind w:firstLine="560"/>
        <w:rPr>
          <w:rFonts w:ascii="仿宋" w:hAnsi="仿宋" w:eastAsia="仿宋" w:cs="仿宋"/>
          <w:sz w:val="28"/>
          <w:szCs w:val="28"/>
        </w:rPr>
      </w:pPr>
      <w:r>
        <w:rPr>
          <w:rFonts w:hint="eastAsia" w:ascii="仿宋" w:hAnsi="仿宋" w:eastAsia="仿宋" w:cs="仿宋"/>
          <w:sz w:val="28"/>
          <w:szCs w:val="28"/>
        </w:rPr>
        <w:t>工程建设规划尽可能避开地质灾害易发区和重要地质灾害隐患危险区，无法避开的必须先采取相应的工程防范措施，先减灾，后建设。要实现这一目标，对建设用地进行地质灾害危险性评估，加强重要工程建设项目的工程地质勘察工作是重要的措施。《地质环境防治条例》等相关法律法规已明确规定，对重要工程建设项目必须进行地质灾害危险性评估，在对建设用地的地质灾害危险性评估，确定建设用地的适宜性，对受到地质灾害威胁，或可能因工程建设诱发地质灾害，并对工程建设和人民生命财产形成威胁的不适宜建筑用地，应采取避让，或先治理后开发，或采用开发性治理的方法，消除地质灾害的危害。目前，建设用地地质灾害危险性评估工作已全面开展起来，拟建工程项目需特别注意按照国家规定做好建设用地地质灾害危险性评估工作和地质灾害防治。此外，矿产开发工作也开始加大管理力度，矿山采矿进行公开招标挂牌出让，并实行矿山地质环境恢复治理保证金制度，在矿产开发中及矿山闭坑以后要做好矿山环评和地质灾害防治工作，避免矿产开发诱发地质灾害带来的危害。</w:t>
      </w:r>
    </w:p>
    <w:bookmarkEnd w:id="417"/>
    <w:bookmarkEnd w:id="418"/>
    <w:p>
      <w:pPr>
        <w:snapToGrid w:val="0"/>
        <w:ind w:firstLine="560"/>
        <w:rPr>
          <w:rFonts w:ascii="仿宋" w:hAnsi="仿宋" w:eastAsia="仿宋" w:cs="仿宋"/>
          <w:sz w:val="28"/>
          <w:szCs w:val="28"/>
        </w:rPr>
      </w:pPr>
      <w:bookmarkStart w:id="419" w:name="_Toc144280299"/>
      <w:bookmarkStart w:id="420" w:name="_Toc154994843"/>
      <w:bookmarkStart w:id="421" w:name="_Toc184204228"/>
      <w:bookmarkStart w:id="422" w:name="_Toc143405819"/>
      <w:r>
        <w:rPr>
          <w:rFonts w:hint="eastAsia" w:ascii="仿宋" w:hAnsi="仿宋" w:eastAsia="仿宋" w:cs="仿宋"/>
          <w:sz w:val="28"/>
          <w:szCs w:val="28"/>
        </w:rPr>
        <w:t>（4）避险搬迁的方式</w:t>
      </w:r>
      <w:bookmarkEnd w:id="419"/>
      <w:bookmarkEnd w:id="420"/>
      <w:bookmarkEnd w:id="421"/>
      <w:bookmarkEnd w:id="422"/>
    </w:p>
    <w:p>
      <w:pPr>
        <w:snapToGrid w:val="0"/>
        <w:ind w:firstLine="560"/>
        <w:rPr>
          <w:rFonts w:ascii="仿宋" w:hAnsi="仿宋" w:eastAsia="仿宋" w:cs="仿宋"/>
          <w:sz w:val="28"/>
          <w:szCs w:val="28"/>
        </w:rPr>
      </w:pPr>
      <w:bookmarkStart w:id="423" w:name="_Toc184204229"/>
      <w:bookmarkStart w:id="424" w:name="_Toc144280300"/>
      <w:bookmarkStart w:id="425" w:name="_Toc143405820"/>
      <w:bookmarkStart w:id="426" w:name="_Toc154994844"/>
      <w:r>
        <w:rPr>
          <w:rFonts w:hint="eastAsia" w:ascii="仿宋" w:hAnsi="仿宋" w:eastAsia="仿宋" w:cs="仿宋"/>
          <w:sz w:val="28"/>
          <w:szCs w:val="28"/>
        </w:rPr>
        <w:t>搬迁避让方案主要根据农户实际条件如距灾害点附近有无可搬迁避让宅基地，村社对宅基地的调整情况及各镇新农村规划安排等综合确定。安置方式主要采取就近相对集中的方式，这样有利于镇村一级政府的行政管理，同时有利于基础设施如道路、水电等配套解决，有利于尽快改善搬迁避让户的生产生活条件。选址时在尽量保证安全的前提下，尽量考虑使新址的生产生活条件较以前有明显改善，这样才使得搬迁避让户能“搬得出、稳得住”。</w:t>
      </w:r>
      <w:bookmarkEnd w:id="423"/>
      <w:bookmarkEnd w:id="424"/>
      <w:bookmarkEnd w:id="425"/>
      <w:bookmarkEnd w:id="426"/>
    </w:p>
    <w:p>
      <w:pPr>
        <w:snapToGrid w:val="0"/>
        <w:ind w:firstLine="560"/>
        <w:rPr>
          <w:rFonts w:ascii="仿宋" w:hAnsi="仿宋" w:eastAsia="仿宋" w:cs="仿宋"/>
          <w:sz w:val="28"/>
          <w:szCs w:val="28"/>
        </w:rPr>
      </w:pPr>
      <w:r>
        <w:rPr>
          <w:rFonts w:hint="eastAsia" w:ascii="仿宋" w:hAnsi="仿宋" w:eastAsia="仿宋" w:cs="仿宋"/>
          <w:sz w:val="28"/>
          <w:szCs w:val="28"/>
        </w:rPr>
        <w:t>（5）总体任务部署</w:t>
      </w:r>
    </w:p>
    <w:p>
      <w:pPr>
        <w:snapToGrid w:val="0"/>
        <w:ind w:firstLine="560"/>
        <w:rPr>
          <w:rFonts w:ascii="仿宋" w:hAnsi="仿宋" w:eastAsia="仿宋" w:cs="仿宋"/>
          <w:sz w:val="28"/>
          <w:szCs w:val="28"/>
        </w:rPr>
      </w:pPr>
      <w:r>
        <w:rPr>
          <w:rFonts w:hint="eastAsia" w:ascii="仿宋" w:hAnsi="仿宋" w:eastAsia="仿宋" w:cs="仿宋"/>
          <w:sz w:val="28"/>
          <w:szCs w:val="28"/>
        </w:rPr>
        <w:t>根据相关规范和技术要求，对于引发因素频发、临灾征兆明显、治理难度大、治理费用高的地质灾害隐患点危险区内的分散农户确定为避险搬迁对象。结合五通桥区地质灾害调查实际情况和规范要求，在对五通桥区的实际调查中，受崩塌灾害威胁的农户比较多，受威胁的农户以分散农户为主，且大部分受威胁农户生产生活条件较差，交通条件差，在充分考虑农户意愿的前提下，通过避险搬迁及工程防治费用对比，对工程治理费用远高于避险搬迁费用及交通条件差、治理难度大的灾害点受威胁农户实施避险搬迁，将5处（其中2处（道沟儿崩塌，毛狗湾崩塌）可以经搬迁后直接销号；其余3处局部搬迁，经搬迁后依然需要进行长期监测）地质灾害隐患点威胁区内的20户分散农户分阶段采取避让搬迁安置。地质灾害搬迁点规划表详见下表。</w:t>
      </w:r>
    </w:p>
    <w:p>
      <w:pPr>
        <w:snapToGrid w:val="0"/>
        <w:ind w:firstLine="422"/>
        <w:jc w:val="center"/>
        <w:rPr>
          <w:b/>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5-1</w:t>
      </w:r>
      <w:r>
        <w:rPr>
          <w:rFonts w:hint="eastAsia" w:ascii="仿宋" w:hAnsi="仿宋" w:eastAsia="仿宋" w:cs="仿宋"/>
          <w:b/>
          <w:sz w:val="21"/>
          <w:szCs w:val="21"/>
          <w:lang w:val="en-GB"/>
        </w:rPr>
        <w:t xml:space="preserve">  地质灾害搬迁避让点规划表</w:t>
      </w:r>
    </w:p>
    <w:tbl>
      <w:tblPr>
        <w:tblStyle w:val="33"/>
        <w:tblW w:w="0" w:type="auto"/>
        <w:jc w:val="center"/>
        <w:tblLayout w:type="autofit"/>
        <w:tblCellMar>
          <w:top w:w="0" w:type="dxa"/>
          <w:left w:w="108" w:type="dxa"/>
          <w:bottom w:w="0" w:type="dxa"/>
          <w:right w:w="108" w:type="dxa"/>
        </w:tblCellMar>
      </w:tblPr>
      <w:tblGrid>
        <w:gridCol w:w="638"/>
        <w:gridCol w:w="3156"/>
        <w:gridCol w:w="1060"/>
        <w:gridCol w:w="1060"/>
        <w:gridCol w:w="1060"/>
        <w:gridCol w:w="1060"/>
      </w:tblGrid>
      <w:tr>
        <w:tblPrEx>
          <w:tblCellMar>
            <w:top w:w="0" w:type="dxa"/>
            <w:left w:w="108" w:type="dxa"/>
            <w:bottom w:w="0" w:type="dxa"/>
            <w:right w:w="108" w:type="dxa"/>
          </w:tblCellMar>
        </w:tblPrEx>
        <w:trPr>
          <w:trHeight w:val="340" w:hRule="atLeast"/>
          <w:jc w:val="center"/>
        </w:trPr>
        <w:tc>
          <w:tcPr>
            <w:tcW w:w="0" w:type="auto"/>
            <w:tcBorders>
              <w:top w:val="single" w:color="000000" w:sz="8" w:space="0"/>
              <w:left w:val="single" w:color="000000" w:sz="8" w:space="0"/>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序号</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隐患点名称</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行政位置</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搬迁户数</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安置方式</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实施年度</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石麟镇莲池村11组道沟儿崩塌</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2024年</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西坝镇高峰村5组毛狗湾崩塌</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2024年</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金粟镇五一村3组湖烟坡滑坡</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金粟镇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石麟镇马儿石村2组五通沟崩塌</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2022年</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石麟镇大桥村8组安子嘴崩塌</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2022年</w:t>
            </w:r>
          </w:p>
        </w:tc>
      </w:tr>
    </w:tbl>
    <w:p>
      <w:pPr>
        <w:pStyle w:val="13"/>
        <w:ind w:left="480"/>
      </w:pPr>
    </w:p>
    <w:p>
      <w:pPr>
        <w:pStyle w:val="7"/>
        <w:snapToGrid w:val="0"/>
        <w:spacing w:beforeLines="0" w:afterLines="0"/>
        <w:ind w:firstLine="562"/>
        <w:rPr>
          <w:rFonts w:ascii="仿宋" w:hAnsi="仿宋" w:eastAsia="仿宋" w:cs="仿宋"/>
        </w:rPr>
      </w:pPr>
      <w:r>
        <w:rPr>
          <w:rFonts w:hint="eastAsia" w:ascii="仿宋" w:hAnsi="仿宋" w:eastAsia="仿宋" w:cs="仿宋"/>
        </w:rPr>
        <w:t>2、地质灾害隐患应急排危除险与工程治理</w:t>
      </w:r>
    </w:p>
    <w:p>
      <w:pPr>
        <w:snapToGrid w:val="0"/>
        <w:ind w:firstLine="560"/>
        <w:rPr>
          <w:rFonts w:ascii="仿宋" w:hAnsi="仿宋" w:eastAsia="仿宋" w:cs="仿宋"/>
          <w:sz w:val="28"/>
          <w:szCs w:val="28"/>
        </w:rPr>
      </w:pPr>
      <w:r>
        <w:rPr>
          <w:rFonts w:hint="eastAsia" w:ascii="仿宋" w:hAnsi="仿宋" w:eastAsia="仿宋" w:cs="仿宋"/>
          <w:sz w:val="28"/>
          <w:szCs w:val="28"/>
        </w:rPr>
        <w:t>1、工程治理原则</w:t>
      </w:r>
    </w:p>
    <w:p>
      <w:pPr>
        <w:snapToGrid w:val="0"/>
        <w:ind w:firstLine="560"/>
        <w:rPr>
          <w:rFonts w:ascii="仿宋" w:hAnsi="仿宋" w:eastAsia="仿宋" w:cs="仿宋"/>
          <w:sz w:val="28"/>
          <w:szCs w:val="28"/>
        </w:rPr>
      </w:pPr>
      <w:r>
        <w:rPr>
          <w:rFonts w:hint="eastAsia" w:ascii="仿宋" w:hAnsi="仿宋" w:eastAsia="仿宋" w:cs="仿宋"/>
          <w:sz w:val="28"/>
          <w:szCs w:val="28"/>
        </w:rPr>
        <w:t>工程治理应放在地质灾害分布集中、规模和危害性大、经济损失巨大的重点地区、不能避让的灾害点或工程治理费用低效果好的灾害点。</w:t>
      </w:r>
    </w:p>
    <w:p>
      <w:pPr>
        <w:snapToGrid w:val="0"/>
        <w:ind w:firstLine="560"/>
        <w:rPr>
          <w:rFonts w:ascii="仿宋" w:hAnsi="仿宋" w:eastAsia="仿宋" w:cs="仿宋"/>
          <w:sz w:val="28"/>
          <w:szCs w:val="28"/>
        </w:rPr>
      </w:pPr>
      <w:r>
        <w:rPr>
          <w:rFonts w:hint="eastAsia" w:ascii="仿宋" w:hAnsi="仿宋" w:eastAsia="仿宋" w:cs="仿宋"/>
          <w:sz w:val="28"/>
          <w:szCs w:val="28"/>
        </w:rPr>
        <w:t>工程治理要重视社会经济效益，采取科学和经济合理的工程治理方法，统一规划安排，分期分批逐步治理一些目前威胁严重、影响和危害大的地质灾害点。</w:t>
      </w:r>
    </w:p>
    <w:p>
      <w:pPr>
        <w:snapToGrid w:val="0"/>
        <w:ind w:firstLine="560"/>
        <w:rPr>
          <w:rFonts w:ascii="仿宋" w:hAnsi="仿宋" w:eastAsia="仿宋" w:cs="仿宋"/>
          <w:sz w:val="28"/>
          <w:szCs w:val="28"/>
        </w:rPr>
      </w:pPr>
      <w:r>
        <w:rPr>
          <w:rFonts w:hint="eastAsia" w:ascii="仿宋" w:hAnsi="仿宋" w:eastAsia="仿宋" w:cs="仿宋"/>
          <w:sz w:val="28"/>
          <w:szCs w:val="28"/>
        </w:rPr>
        <w:t>重点地质灾害点的工程治理在治理前需要进行必要的综合工程地质勘查或调查，查明灾害体的类型、分布规模、成因机制、发展趋势和危害程度，并作出稳定性评价，提出经济合理和技术可行的工程治理方案和应急防治措施。</w:t>
      </w:r>
    </w:p>
    <w:p>
      <w:pPr>
        <w:snapToGrid w:val="0"/>
        <w:ind w:firstLine="560"/>
        <w:rPr>
          <w:rFonts w:ascii="仿宋" w:hAnsi="仿宋" w:eastAsia="仿宋" w:cs="仿宋"/>
          <w:sz w:val="28"/>
          <w:szCs w:val="28"/>
        </w:rPr>
      </w:pPr>
      <w:r>
        <w:rPr>
          <w:rFonts w:hint="eastAsia" w:ascii="仿宋" w:hAnsi="仿宋" w:eastAsia="仿宋" w:cs="仿宋"/>
          <w:sz w:val="28"/>
          <w:szCs w:val="28"/>
        </w:rPr>
        <w:t>2、工程治理措施</w:t>
      </w:r>
    </w:p>
    <w:p>
      <w:pPr>
        <w:snapToGrid w:val="0"/>
        <w:ind w:firstLine="560"/>
        <w:rPr>
          <w:rFonts w:ascii="仿宋" w:hAnsi="仿宋" w:eastAsia="仿宋" w:cs="仿宋"/>
          <w:sz w:val="28"/>
          <w:szCs w:val="28"/>
        </w:rPr>
      </w:pPr>
      <w:r>
        <w:rPr>
          <w:rFonts w:hint="eastAsia" w:ascii="仿宋" w:hAnsi="仿宋" w:eastAsia="仿宋" w:cs="仿宋"/>
          <w:sz w:val="28"/>
          <w:szCs w:val="28"/>
        </w:rPr>
        <w:t>针对五通桥区滑坡和崩塌两种灾种，分别采取不同的工程针对措施，合理进行工程治理。</w:t>
      </w:r>
    </w:p>
    <w:p>
      <w:pPr>
        <w:snapToGrid w:val="0"/>
        <w:ind w:firstLine="560"/>
        <w:rPr>
          <w:rFonts w:ascii="仿宋" w:hAnsi="仿宋" w:eastAsia="仿宋" w:cs="仿宋"/>
          <w:sz w:val="28"/>
          <w:szCs w:val="28"/>
        </w:rPr>
      </w:pPr>
      <w:r>
        <w:rPr>
          <w:rFonts w:hint="eastAsia" w:ascii="仿宋" w:hAnsi="仿宋" w:eastAsia="仿宋" w:cs="仿宋"/>
          <w:sz w:val="28"/>
          <w:szCs w:val="28"/>
        </w:rPr>
        <w:t>（一）滑坡灾害工程治理措施</w:t>
      </w:r>
    </w:p>
    <w:p>
      <w:pPr>
        <w:snapToGrid w:val="0"/>
        <w:ind w:firstLine="560"/>
        <w:rPr>
          <w:rFonts w:ascii="仿宋" w:hAnsi="仿宋" w:eastAsia="仿宋" w:cs="仿宋"/>
          <w:sz w:val="28"/>
          <w:szCs w:val="28"/>
        </w:rPr>
      </w:pPr>
      <w:bookmarkStart w:id="427" w:name="_Toc184204266"/>
      <w:r>
        <w:rPr>
          <w:rFonts w:hint="eastAsia" w:ascii="仿宋" w:hAnsi="仿宋" w:eastAsia="仿宋" w:cs="仿宋"/>
          <w:sz w:val="28"/>
          <w:szCs w:val="28"/>
        </w:rPr>
        <w:t>（1）、排水工程</w:t>
      </w:r>
      <w:bookmarkEnd w:id="427"/>
    </w:p>
    <w:p>
      <w:pPr>
        <w:snapToGrid w:val="0"/>
        <w:ind w:firstLine="560"/>
        <w:rPr>
          <w:rFonts w:ascii="仿宋" w:hAnsi="仿宋" w:eastAsia="仿宋" w:cs="仿宋"/>
          <w:sz w:val="28"/>
          <w:szCs w:val="28"/>
        </w:rPr>
      </w:pPr>
      <w:r>
        <w:rPr>
          <w:rFonts w:hint="eastAsia" w:ascii="仿宋" w:hAnsi="仿宋" w:eastAsia="仿宋" w:cs="仿宋"/>
          <w:sz w:val="28"/>
          <w:szCs w:val="28"/>
        </w:rPr>
        <w:t>区内滑坡的产生和发展都与地表水的危害有密切联系，所以通过设置排水系统来排除地表水来治理该类滑坡能够取得明显的效果。方法是在滑坡可能发展的边界5米以外设置一条或数条环形截水沟，用以拦截旁引自斜坡上部流向斜坡的水流，沟深和沟底宽度都不小于0.5米，修筑的排水沟应尽量减少其渗透。在滑体上也应充分利用自然沟谷布置成树枝状排水系统，使得水流得以汇集旁引，另外，对地表出现的裂缝应及时进行平整夯实，以防地表水渗入。各滑坡均应采取排水工程。</w:t>
      </w:r>
    </w:p>
    <w:p>
      <w:pPr>
        <w:snapToGrid w:val="0"/>
        <w:ind w:firstLine="560"/>
        <w:rPr>
          <w:rFonts w:ascii="仿宋" w:hAnsi="仿宋" w:eastAsia="仿宋" w:cs="仿宋"/>
          <w:sz w:val="28"/>
          <w:szCs w:val="28"/>
        </w:rPr>
      </w:pPr>
      <w:bookmarkStart w:id="428" w:name="_Toc184204267"/>
      <w:r>
        <w:rPr>
          <w:rFonts w:hint="eastAsia" w:ascii="仿宋" w:hAnsi="仿宋" w:eastAsia="仿宋" w:cs="仿宋"/>
          <w:sz w:val="28"/>
          <w:szCs w:val="28"/>
        </w:rPr>
        <w:t>（2）、支挡工程</w:t>
      </w:r>
      <w:bookmarkEnd w:id="428"/>
    </w:p>
    <w:p>
      <w:pPr>
        <w:snapToGrid w:val="0"/>
        <w:ind w:firstLine="560"/>
        <w:rPr>
          <w:rFonts w:ascii="仿宋" w:hAnsi="仿宋" w:eastAsia="仿宋" w:cs="仿宋"/>
          <w:sz w:val="28"/>
          <w:szCs w:val="28"/>
        </w:rPr>
      </w:pPr>
      <w:r>
        <w:rPr>
          <w:rFonts w:hint="eastAsia" w:ascii="仿宋" w:hAnsi="仿宋" w:eastAsia="仿宋" w:cs="仿宋"/>
          <w:sz w:val="28"/>
          <w:szCs w:val="28"/>
        </w:rPr>
        <w:t>支挡工程可增加滑坡的重力平衡条件，使滑坡迅速恢复稳定。基于本地区质灾害点的发育特征及危害程度，可采用抗滑桩和抗滑挡墙两种支挡措施。</w:t>
      </w:r>
    </w:p>
    <w:p>
      <w:pPr>
        <w:snapToGrid w:val="0"/>
        <w:ind w:firstLine="560"/>
        <w:rPr>
          <w:rFonts w:ascii="仿宋" w:hAnsi="仿宋" w:eastAsia="仿宋" w:cs="仿宋"/>
          <w:sz w:val="28"/>
          <w:szCs w:val="28"/>
        </w:rPr>
      </w:pPr>
      <w:r>
        <w:rPr>
          <w:rFonts w:hint="eastAsia" w:ascii="仿宋" w:hAnsi="仿宋" w:eastAsia="仿宋" w:cs="仿宋"/>
          <w:sz w:val="28"/>
          <w:szCs w:val="28"/>
        </w:rPr>
        <w:t>抗滑桩（挡墙）多设置于滑坡的前缘，基础埋入完整稳定岩层内一定深度。五通桥区大部分滑坡多发育于斜坡坡脚，滑坡前缘多为较缓坡，抗滑支挡工程位置和布置应在勘察后确定，避免形成新的不安全工程。</w:t>
      </w:r>
    </w:p>
    <w:p>
      <w:pPr>
        <w:snapToGrid w:val="0"/>
        <w:ind w:firstLine="560"/>
        <w:rPr>
          <w:rFonts w:ascii="仿宋" w:hAnsi="仿宋" w:eastAsia="仿宋" w:cs="仿宋"/>
          <w:sz w:val="28"/>
          <w:szCs w:val="28"/>
        </w:rPr>
      </w:pPr>
      <w:bookmarkStart w:id="429" w:name="_Toc184204268"/>
      <w:r>
        <w:rPr>
          <w:rFonts w:hint="eastAsia" w:ascii="仿宋" w:hAnsi="仿宋" w:eastAsia="仿宋" w:cs="仿宋"/>
          <w:sz w:val="28"/>
          <w:szCs w:val="28"/>
        </w:rPr>
        <w:t>（3）、减载加载工程</w:t>
      </w:r>
      <w:bookmarkEnd w:id="429"/>
    </w:p>
    <w:p>
      <w:pPr>
        <w:snapToGrid w:val="0"/>
        <w:ind w:firstLine="560"/>
        <w:rPr>
          <w:rFonts w:ascii="仿宋" w:hAnsi="仿宋" w:eastAsia="仿宋" w:cs="仿宋"/>
          <w:sz w:val="28"/>
          <w:szCs w:val="28"/>
        </w:rPr>
      </w:pPr>
      <w:r>
        <w:rPr>
          <w:rFonts w:hint="eastAsia" w:ascii="仿宋" w:hAnsi="仿宋" w:eastAsia="仿宋" w:cs="仿宋"/>
          <w:sz w:val="28"/>
          <w:szCs w:val="28"/>
        </w:rPr>
        <w:t>对于区内属于牵引式或推移－牵引式的滑坡，可采用在滑体上部减载或后缘压脚的办法，使得灾害点的外形得以改变，重心得以降低，从而改善灾害点的稳定性。减载处理时，必须切实注意施工办法，尽量做到先上后下，先高后低，均匀减重，以防止开挖土石不当而造成地质灾害的分解和恶化。对于减重后的剖面进行平整，及时做好排水和防渗工程等。</w:t>
      </w:r>
    </w:p>
    <w:p>
      <w:pPr>
        <w:snapToGrid w:val="0"/>
        <w:ind w:firstLine="560"/>
        <w:rPr>
          <w:rFonts w:ascii="仿宋" w:hAnsi="仿宋" w:eastAsia="仿宋" w:cs="仿宋"/>
          <w:sz w:val="28"/>
          <w:szCs w:val="28"/>
        </w:rPr>
      </w:pPr>
      <w:r>
        <w:rPr>
          <w:rFonts w:hint="eastAsia" w:ascii="仿宋" w:hAnsi="仿宋" w:eastAsia="仿宋" w:cs="仿宋"/>
          <w:sz w:val="28"/>
          <w:szCs w:val="28"/>
        </w:rPr>
        <w:t>（二）崩塌（危岩）工程治理措施</w:t>
      </w:r>
    </w:p>
    <w:p>
      <w:pPr>
        <w:snapToGrid w:val="0"/>
        <w:ind w:firstLine="560"/>
        <w:rPr>
          <w:rFonts w:ascii="仿宋" w:hAnsi="仿宋" w:eastAsia="仿宋" w:cs="仿宋"/>
          <w:sz w:val="28"/>
          <w:szCs w:val="28"/>
        </w:rPr>
      </w:pPr>
      <w:r>
        <w:rPr>
          <w:rFonts w:hint="eastAsia" w:ascii="仿宋" w:hAnsi="仿宋" w:eastAsia="仿宋" w:cs="仿宋"/>
          <w:sz w:val="28"/>
          <w:szCs w:val="28"/>
        </w:rPr>
        <w:t>（1）、排导地表水及地下水，减轻或消除对陡坡陡崖的冲蚀和侵蚀。</w:t>
      </w:r>
    </w:p>
    <w:p>
      <w:pPr>
        <w:snapToGrid w:val="0"/>
        <w:ind w:firstLine="560"/>
        <w:rPr>
          <w:rFonts w:ascii="仿宋" w:hAnsi="仿宋" w:eastAsia="仿宋" w:cs="仿宋"/>
          <w:sz w:val="28"/>
          <w:szCs w:val="28"/>
        </w:rPr>
      </w:pPr>
      <w:r>
        <w:rPr>
          <w:rFonts w:hint="eastAsia" w:ascii="仿宋" w:hAnsi="仿宋" w:eastAsia="仿宋" w:cs="仿宋"/>
          <w:sz w:val="28"/>
          <w:szCs w:val="28"/>
        </w:rPr>
        <w:t>（2）、清除危岩，是简单而有效的方法，视具体情况采用人工削方或爆破清除。</w:t>
      </w:r>
    </w:p>
    <w:p>
      <w:pPr>
        <w:snapToGrid w:val="0"/>
        <w:ind w:firstLine="560"/>
        <w:rPr>
          <w:rFonts w:ascii="仿宋" w:hAnsi="仿宋" w:eastAsia="仿宋" w:cs="仿宋"/>
          <w:sz w:val="28"/>
          <w:szCs w:val="28"/>
        </w:rPr>
      </w:pPr>
      <w:r>
        <w:rPr>
          <w:rFonts w:hint="eastAsia" w:ascii="仿宋" w:hAnsi="仿宋" w:eastAsia="仿宋" w:cs="仿宋"/>
          <w:sz w:val="28"/>
          <w:szCs w:val="28"/>
        </w:rPr>
        <w:t>（3）、镶补填塞斜坡岩石的缝隙及底部凹腔，提高岩体的稳定性。</w:t>
      </w:r>
    </w:p>
    <w:p>
      <w:pPr>
        <w:snapToGrid w:val="0"/>
        <w:ind w:firstLine="560"/>
        <w:rPr>
          <w:rFonts w:ascii="仿宋" w:hAnsi="仿宋" w:eastAsia="仿宋" w:cs="仿宋"/>
          <w:sz w:val="28"/>
          <w:szCs w:val="28"/>
        </w:rPr>
      </w:pPr>
      <w:r>
        <w:rPr>
          <w:rFonts w:hint="eastAsia" w:ascii="仿宋" w:hAnsi="仿宋" w:eastAsia="仿宋" w:cs="仿宋"/>
          <w:sz w:val="28"/>
          <w:szCs w:val="28"/>
        </w:rPr>
        <w:t>（4）、修建拦石墙或拦石网拦截飞石、护坡挡墙防止岩土剥落。</w:t>
      </w:r>
    </w:p>
    <w:p>
      <w:pPr>
        <w:snapToGrid w:val="0"/>
        <w:ind w:firstLine="560"/>
        <w:rPr>
          <w:rFonts w:ascii="仿宋" w:hAnsi="仿宋" w:eastAsia="仿宋" w:cs="仿宋"/>
          <w:sz w:val="28"/>
          <w:szCs w:val="28"/>
        </w:rPr>
      </w:pPr>
      <w:r>
        <w:rPr>
          <w:rFonts w:hint="eastAsia" w:ascii="仿宋" w:hAnsi="仿宋" w:eastAsia="仿宋" w:cs="仿宋"/>
          <w:sz w:val="28"/>
          <w:szCs w:val="28"/>
        </w:rPr>
        <w:t>3、排危除险</w:t>
      </w:r>
    </w:p>
    <w:p>
      <w:pPr>
        <w:snapToGrid w:val="0"/>
        <w:ind w:firstLine="560"/>
        <w:rPr>
          <w:rFonts w:ascii="仿宋" w:hAnsi="仿宋" w:eastAsia="仿宋" w:cs="仿宋"/>
          <w:sz w:val="28"/>
          <w:szCs w:val="28"/>
        </w:rPr>
      </w:pPr>
      <w:r>
        <w:rPr>
          <w:rFonts w:hint="eastAsia" w:ascii="仿宋" w:hAnsi="仿宋" w:eastAsia="仿宋" w:cs="仿宋"/>
          <w:sz w:val="28"/>
          <w:szCs w:val="28"/>
        </w:rPr>
        <w:t>规划期内对规模较小、变形特征明显、治理措施较为简单的20处地质灾害隐患实施应急排危除险防治。规划期内地质灾害应急排危除险点数量详见表5-2。</w:t>
      </w:r>
    </w:p>
    <w:p>
      <w:pPr>
        <w:snapToGrid w:val="0"/>
        <w:ind w:firstLine="422"/>
        <w:jc w:val="center"/>
        <w:rPr>
          <w:rFonts w:ascii="仿宋" w:hAnsi="仿宋" w:eastAsia="仿宋" w:cs="仿宋"/>
          <w:b/>
          <w:sz w:val="21"/>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5-2</w:t>
      </w:r>
      <w:r>
        <w:rPr>
          <w:rFonts w:hint="eastAsia" w:ascii="仿宋" w:hAnsi="仿宋" w:eastAsia="仿宋" w:cs="仿宋"/>
          <w:b/>
          <w:sz w:val="21"/>
          <w:szCs w:val="21"/>
          <w:lang w:val="en-GB"/>
        </w:rPr>
        <w:t>地质灾害应急排危除险点规划表</w:t>
      </w:r>
    </w:p>
    <w:tbl>
      <w:tblPr>
        <w:tblStyle w:val="33"/>
        <w:tblW w:w="9159" w:type="dxa"/>
        <w:jc w:val="center"/>
        <w:tblLayout w:type="fixed"/>
        <w:tblCellMar>
          <w:top w:w="0" w:type="dxa"/>
          <w:left w:w="28" w:type="dxa"/>
          <w:bottom w:w="0" w:type="dxa"/>
          <w:right w:w="28" w:type="dxa"/>
        </w:tblCellMar>
      </w:tblPr>
      <w:tblGrid>
        <w:gridCol w:w="403"/>
        <w:gridCol w:w="1531"/>
        <w:gridCol w:w="748"/>
        <w:gridCol w:w="402"/>
        <w:gridCol w:w="748"/>
        <w:gridCol w:w="748"/>
        <w:gridCol w:w="748"/>
        <w:gridCol w:w="680"/>
        <w:gridCol w:w="907"/>
        <w:gridCol w:w="748"/>
        <w:gridCol w:w="748"/>
        <w:gridCol w:w="748"/>
      </w:tblGrid>
      <w:tr>
        <w:tblPrEx>
          <w:tblCellMar>
            <w:top w:w="0" w:type="dxa"/>
            <w:left w:w="28" w:type="dxa"/>
            <w:bottom w:w="0" w:type="dxa"/>
            <w:right w:w="28" w:type="dxa"/>
          </w:tblCellMar>
        </w:tblPrEx>
        <w:trPr>
          <w:trHeight w:val="279" w:hRule="atLeast"/>
          <w:tblHeader/>
          <w:jc w:val="center"/>
        </w:trPr>
        <w:tc>
          <w:tcPr>
            <w:tcW w:w="403" w:type="dxa"/>
            <w:tcBorders>
              <w:top w:val="single" w:color="000000" w:sz="8" w:space="0"/>
              <w:left w:val="single" w:color="000000" w:sz="8" w:space="0"/>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编号</w:t>
            </w:r>
          </w:p>
        </w:tc>
        <w:tc>
          <w:tcPr>
            <w:tcW w:w="1531"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灾害隐患点名称</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行政位置</w:t>
            </w:r>
          </w:p>
        </w:tc>
        <w:tc>
          <w:tcPr>
            <w:tcW w:w="402"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规模</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目前状态</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趋势预测</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威胁户数</w:t>
            </w:r>
          </w:p>
        </w:tc>
        <w:tc>
          <w:tcPr>
            <w:tcW w:w="680"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威胁人数</w:t>
            </w:r>
          </w:p>
        </w:tc>
        <w:tc>
          <w:tcPr>
            <w:tcW w:w="907"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防治措施</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经费估算</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资金来源</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实施年限</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石麟镇张坳口7组崩塌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748" w:type="dxa"/>
            <w:vMerge w:val="restart"/>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国家、省地质灾害防治专项资金+区级自筹</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石麟镇张坳口村9组茶儿店山崩塌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石麟镇沙坝河村5组牛湾头崩塌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清危+凹腔填补+锚杆支护</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石麟镇大桥村7组白云寺崩塌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凹腔封填+清危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西坝镇高峰村4组白虎嘴崩塌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人工清危+嵌补</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西坝镇高峰村2组寨子下水井湾崩塌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金山镇盐井沱村9组软桥沟崩塌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23</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金山镇白家磅9组花蛇坡崩塌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凹腔封填+清危+被动网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金山镇石燕子村2组兴隆湾崩塌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主动防护网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金山镇苦竹咀村3组洞空子崩塌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金山镇柏木林村2组左全洪房后崩塌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金山镇盐井沱村9组软桥沟沟对面崩塌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金山镇柏木林村2组深沟寺崩塌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金山镇民安村4组高子山崩塌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金山镇先家村4组庆子山崩塌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16</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红豆村7组人和井老虎岩崩塌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21</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竹根镇柑子村5组崩塌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清危+锚杆支护</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37</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牛华镇半边街社区7组滑坡</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36</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挡土墙+截排水沟</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19</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牛华镇新云村1组大石山崩塌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清危+被动防护网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冠英镇黄益塘村8组侧儿崖潜在滑坡</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冠英镇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挡墙</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bl>
    <w:p>
      <w:pPr>
        <w:snapToGrid w:val="0"/>
        <w:ind w:firstLine="560"/>
        <w:rPr>
          <w:rFonts w:ascii="仿宋" w:hAnsi="仿宋" w:eastAsia="仿宋" w:cs="仿宋"/>
          <w:sz w:val="28"/>
          <w:szCs w:val="28"/>
        </w:rPr>
      </w:pPr>
      <w:r>
        <w:rPr>
          <w:rFonts w:hint="eastAsia" w:ascii="仿宋" w:hAnsi="仿宋" w:eastAsia="仿宋" w:cs="仿宋"/>
          <w:sz w:val="28"/>
          <w:szCs w:val="28"/>
        </w:rPr>
        <w:t>4、工程治理</w:t>
      </w:r>
    </w:p>
    <w:p>
      <w:pPr>
        <w:snapToGrid w:val="0"/>
        <w:ind w:firstLine="560"/>
        <w:rPr>
          <w:rFonts w:ascii="仿宋" w:hAnsi="仿宋" w:eastAsia="仿宋" w:cs="仿宋"/>
          <w:sz w:val="28"/>
          <w:szCs w:val="28"/>
        </w:rPr>
      </w:pPr>
      <w:r>
        <w:rPr>
          <w:rFonts w:hint="eastAsia" w:ascii="仿宋" w:hAnsi="仿宋" w:eastAsia="仿宋" w:cs="仿宋"/>
          <w:sz w:val="28"/>
          <w:szCs w:val="28"/>
        </w:rPr>
        <w:t>规划期内对规模较大、变形特征明显、治理难度较大、不适宜应急排危除险的7处地质灾害隐患实施工程治理。规划期内地质灾害工程治理点详见表5-3。</w:t>
      </w:r>
    </w:p>
    <w:p>
      <w:pPr>
        <w:snapToGrid w:val="0"/>
        <w:ind w:firstLine="422"/>
        <w:jc w:val="center"/>
        <w:rPr>
          <w:rFonts w:ascii="仿宋" w:hAnsi="仿宋" w:eastAsia="仿宋" w:cs="仿宋"/>
          <w:b/>
          <w:sz w:val="21"/>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5-3</w:t>
      </w:r>
      <w:r>
        <w:rPr>
          <w:rFonts w:hint="eastAsia" w:ascii="仿宋" w:hAnsi="仿宋" w:eastAsia="仿宋" w:cs="仿宋"/>
          <w:b/>
          <w:sz w:val="21"/>
          <w:szCs w:val="21"/>
          <w:lang w:val="en-GB"/>
        </w:rPr>
        <w:t xml:space="preserve">  地质灾害工程治理点规划表</w:t>
      </w:r>
    </w:p>
    <w:tbl>
      <w:tblPr>
        <w:tblStyle w:val="33"/>
        <w:tblW w:w="0" w:type="auto"/>
        <w:tblInd w:w="96" w:type="dxa"/>
        <w:tblLayout w:type="autofit"/>
        <w:tblCellMar>
          <w:top w:w="0" w:type="dxa"/>
          <w:left w:w="108" w:type="dxa"/>
          <w:bottom w:w="0" w:type="dxa"/>
          <w:right w:w="108" w:type="dxa"/>
        </w:tblCellMar>
      </w:tblPr>
      <w:tblGrid>
        <w:gridCol w:w="437"/>
        <w:gridCol w:w="1874"/>
        <w:gridCol w:w="658"/>
        <w:gridCol w:w="879"/>
        <w:gridCol w:w="879"/>
        <w:gridCol w:w="2261"/>
        <w:gridCol w:w="658"/>
        <w:gridCol w:w="659"/>
        <w:gridCol w:w="659"/>
      </w:tblGrid>
      <w:tr>
        <w:tblPrEx>
          <w:tblCellMar>
            <w:top w:w="0" w:type="dxa"/>
            <w:left w:w="108" w:type="dxa"/>
            <w:bottom w:w="0" w:type="dxa"/>
            <w:right w:w="108" w:type="dxa"/>
          </w:tblCellMar>
        </w:tblPrEx>
        <w:trPr>
          <w:trHeight w:val="264" w:hRule="atLeast"/>
        </w:trPr>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隐患点名称</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规模等级</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威胁户数(户)</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威胁人数(人)</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防治措施</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治理费用</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资金来源</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实施年度</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石麟镇马儿石村8组崩塌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凹腔嵌补+截排水沟+锚杆锚固</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60</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国家、省地质灾害防治专项资金+区级自筹</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石麟镇南山村桥坝滑坡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帷幕灌浆+抗滑桩+重力式挡土墙+截排水沟</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130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金山镇迎春街4组大寺尚滑坡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清危+截排水沟+挡土墙</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竹根镇多宝村1组乌龟石滑坡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截水沟+抗滑桩</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牛华镇田江村6组田江坡滑坡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削坡</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牛华镇牛华中学操场后滑坡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清危+抗滑桩+抗滑挡土墙+护坡+截排水沟</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150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石麟镇张坳口村8组斑竹林湾崩塌</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清危+抗滑桩+抗滑挡土墙+护坡+截排水沟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100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2024年</w:t>
            </w:r>
          </w:p>
        </w:tc>
      </w:tr>
    </w:tbl>
    <w:p>
      <w:pPr>
        <w:pStyle w:val="2"/>
        <w:snapToGrid w:val="0"/>
        <w:spacing w:line="360" w:lineRule="auto"/>
      </w:pPr>
    </w:p>
    <w:p>
      <w:pPr>
        <w:pStyle w:val="6"/>
        <w:snapToGrid w:val="0"/>
        <w:spacing w:beforeLines="0" w:afterLines="0"/>
        <w:ind w:firstLine="562" w:firstLineChars="200"/>
        <w:rPr>
          <w:rFonts w:cs="仿宋"/>
          <w:szCs w:val="28"/>
        </w:rPr>
      </w:pPr>
      <w:bookmarkStart w:id="430" w:name="_Toc5742"/>
      <w:bookmarkStart w:id="431" w:name="_Toc2658"/>
      <w:r>
        <w:rPr>
          <w:rFonts w:hint="eastAsia" w:cs="仿宋"/>
          <w:szCs w:val="28"/>
        </w:rPr>
        <w:t>三、开展地质灾害核实销号</w:t>
      </w:r>
      <w:bookmarkEnd w:id="430"/>
      <w:bookmarkEnd w:id="431"/>
    </w:p>
    <w:p>
      <w:pPr>
        <w:snapToGrid w:val="0"/>
        <w:ind w:firstLine="560"/>
        <w:rPr>
          <w:rFonts w:ascii="仿宋" w:hAnsi="仿宋" w:eastAsia="仿宋" w:cs="仿宋"/>
          <w:sz w:val="28"/>
          <w:szCs w:val="28"/>
        </w:rPr>
      </w:pPr>
      <w:r>
        <w:rPr>
          <w:rFonts w:hint="eastAsia" w:ascii="仿宋" w:hAnsi="仿宋" w:eastAsia="仿宋" w:cs="仿宋"/>
          <w:sz w:val="28"/>
          <w:szCs w:val="28"/>
        </w:rPr>
        <w:t>根据国家出台的相关地质灾害销号要求、原则与程序，结合五通桥区实际情况，对于已进行工程治理、排危除险、避险搬迁的隐患点以及多年来无明显变化的群测群防点进行核实销号。</w:t>
      </w:r>
    </w:p>
    <w:p>
      <w:pPr>
        <w:pStyle w:val="7"/>
        <w:snapToGrid w:val="0"/>
        <w:spacing w:beforeLines="0" w:afterLines="0"/>
        <w:ind w:firstLine="562"/>
        <w:rPr>
          <w:rFonts w:ascii="仿宋" w:hAnsi="仿宋" w:eastAsia="仿宋" w:cs="仿宋"/>
        </w:rPr>
      </w:pPr>
      <w:r>
        <w:rPr>
          <w:rFonts w:hint="eastAsia" w:ascii="仿宋" w:hAnsi="仿宋" w:eastAsia="仿宋" w:cs="仿宋"/>
        </w:rPr>
        <w:t>1、地质灾害核实销号原则</w:t>
      </w:r>
    </w:p>
    <w:p>
      <w:pPr>
        <w:snapToGrid w:val="0"/>
        <w:ind w:firstLine="560"/>
        <w:rPr>
          <w:rFonts w:ascii="仿宋" w:hAnsi="仿宋" w:eastAsia="仿宋" w:cs="仿宋"/>
          <w:sz w:val="28"/>
          <w:szCs w:val="28"/>
        </w:rPr>
      </w:pPr>
      <w:r>
        <w:rPr>
          <w:rFonts w:hint="eastAsia" w:ascii="仿宋" w:hAnsi="仿宋" w:eastAsia="仿宋" w:cs="仿宋"/>
          <w:sz w:val="28"/>
          <w:szCs w:val="28"/>
        </w:rPr>
        <w:t>（1）、地质灾害隐患点销号工作应收集已有地质灾害勘査、设计、治理、 监测、搬迁、群测群防、排査等资料，经现场调査核实与综合评估后确定。</w:t>
      </w:r>
    </w:p>
    <w:p>
      <w:pPr>
        <w:snapToGrid w:val="0"/>
        <w:ind w:firstLine="560"/>
        <w:rPr>
          <w:rFonts w:ascii="仿宋" w:hAnsi="仿宋" w:eastAsia="仿宋" w:cs="仿宋"/>
          <w:sz w:val="28"/>
          <w:szCs w:val="28"/>
        </w:rPr>
      </w:pPr>
      <w:r>
        <w:rPr>
          <w:rFonts w:hint="eastAsia" w:ascii="仿宋" w:hAnsi="仿宋" w:eastAsia="仿宋" w:cs="仿宋"/>
          <w:sz w:val="28"/>
          <w:szCs w:val="28"/>
        </w:rPr>
        <w:t>（2）、现场核实为非地质灾害隐患点，应进行销号。</w:t>
      </w:r>
    </w:p>
    <w:p>
      <w:pPr>
        <w:snapToGrid w:val="0"/>
        <w:ind w:firstLine="560"/>
        <w:rPr>
          <w:rFonts w:ascii="仿宋" w:hAnsi="仿宋" w:eastAsia="仿宋" w:cs="仿宋"/>
          <w:sz w:val="28"/>
          <w:szCs w:val="28"/>
        </w:rPr>
      </w:pPr>
      <w:r>
        <w:rPr>
          <w:rFonts w:hint="eastAsia" w:ascii="仿宋" w:hAnsi="仿宋" w:eastAsia="仿宋" w:cs="仿宋"/>
          <w:sz w:val="28"/>
          <w:szCs w:val="28"/>
        </w:rPr>
        <w:t>（3）、只进行应急抢险或局部治理、局部搬迁，且地质灾害隐患未彻底消除的，不应销号。</w:t>
      </w:r>
    </w:p>
    <w:p>
      <w:pPr>
        <w:snapToGrid w:val="0"/>
        <w:ind w:firstLine="560"/>
        <w:rPr>
          <w:rFonts w:ascii="仿宋" w:hAnsi="仿宋" w:eastAsia="仿宋" w:cs="仿宋"/>
          <w:sz w:val="28"/>
          <w:szCs w:val="28"/>
          <w:lang w:val="zh-CN"/>
        </w:rPr>
      </w:pPr>
      <w:r>
        <w:rPr>
          <w:rFonts w:hint="eastAsia" w:ascii="仿宋" w:hAnsi="仿宋" w:eastAsia="仿宋" w:cs="仿宋"/>
          <w:sz w:val="28"/>
          <w:szCs w:val="28"/>
        </w:rPr>
        <w:t>（4）、岩质滑坡、危岩和专业监测的地质灾害隐患点一般不应销号，若销号，应专门</w:t>
      </w:r>
      <w:r>
        <w:rPr>
          <w:rFonts w:hint="eastAsia" w:ascii="仿宋" w:hAnsi="仿宋" w:eastAsia="仿宋" w:cs="仿宋"/>
          <w:sz w:val="28"/>
          <w:szCs w:val="28"/>
          <w:lang w:val="zh-CN"/>
        </w:rPr>
        <w:t>论证。</w:t>
      </w:r>
    </w:p>
    <w:p>
      <w:pPr>
        <w:snapToGrid w:val="0"/>
        <w:ind w:firstLine="560"/>
        <w:rPr>
          <w:rFonts w:ascii="仿宋" w:hAnsi="仿宋" w:eastAsia="仿宋" w:cs="仿宋"/>
          <w:sz w:val="28"/>
          <w:szCs w:val="28"/>
        </w:rPr>
      </w:pPr>
      <w:r>
        <w:rPr>
          <w:rFonts w:hint="eastAsia" w:ascii="仿宋" w:hAnsi="仿宋" w:eastAsia="仿宋" w:cs="仿宋"/>
          <w:sz w:val="28"/>
          <w:szCs w:val="28"/>
        </w:rPr>
        <w:t>（5）、滑坡前缘受水库水位或江河影响的地质灾害隐患点不应销号。</w:t>
      </w:r>
    </w:p>
    <w:p>
      <w:pPr>
        <w:snapToGrid w:val="0"/>
        <w:ind w:firstLine="560"/>
        <w:rPr>
          <w:rFonts w:ascii="仿宋" w:hAnsi="仿宋" w:eastAsia="仿宋" w:cs="仿宋"/>
          <w:sz w:val="28"/>
          <w:szCs w:val="28"/>
        </w:rPr>
      </w:pPr>
      <w:r>
        <w:rPr>
          <w:rFonts w:hint="eastAsia" w:ascii="仿宋" w:hAnsi="仿宋" w:eastAsia="仿宋" w:cs="仿宋"/>
          <w:sz w:val="28"/>
          <w:szCs w:val="28"/>
        </w:rPr>
        <w:t>（6）、经销号的地质灾害隐患点，应保留在地质灾害数据库中并定期回访，后期动态管理中若出现新的险情，应重新纳入地质灾害防治体系进行管理。</w:t>
      </w:r>
    </w:p>
    <w:p>
      <w:pPr>
        <w:pStyle w:val="7"/>
        <w:snapToGrid w:val="0"/>
        <w:spacing w:beforeLines="0" w:afterLines="0"/>
        <w:ind w:firstLine="562"/>
        <w:rPr>
          <w:rFonts w:ascii="仿宋" w:hAnsi="仿宋" w:eastAsia="仿宋" w:cs="仿宋"/>
        </w:rPr>
      </w:pPr>
      <w:r>
        <w:rPr>
          <w:rFonts w:hint="eastAsia" w:ascii="仿宋" w:hAnsi="仿宋" w:eastAsia="仿宋" w:cs="仿宋"/>
        </w:rPr>
        <w:t>2、核实销号工作程序</w:t>
      </w:r>
    </w:p>
    <w:p>
      <w:pPr>
        <w:snapToGrid w:val="0"/>
        <w:ind w:firstLine="560"/>
        <w:rPr>
          <w:rFonts w:ascii="仿宋" w:hAnsi="仿宋" w:eastAsia="仿宋" w:cs="仿宋"/>
          <w:sz w:val="28"/>
          <w:szCs w:val="28"/>
        </w:rPr>
      </w:pPr>
      <w:r>
        <w:rPr>
          <w:rFonts w:hint="eastAsia" w:ascii="仿宋" w:hAnsi="仿宋" w:eastAsia="仿宋" w:cs="仿宋"/>
          <w:sz w:val="28"/>
          <w:szCs w:val="28"/>
        </w:rPr>
        <w:t>地质灾害隐患点销号工作程序按以下执行：</w:t>
      </w:r>
    </w:p>
    <w:p>
      <w:pPr>
        <w:snapToGrid w:val="0"/>
        <w:ind w:firstLine="560"/>
        <w:rPr>
          <w:rFonts w:ascii="仿宋" w:hAnsi="仿宋" w:eastAsia="仿宋" w:cs="仿宋"/>
          <w:sz w:val="28"/>
          <w:szCs w:val="28"/>
        </w:rPr>
      </w:pPr>
      <w:r>
        <w:rPr>
          <w:rFonts w:hint="eastAsia" w:ascii="仿宋" w:hAnsi="仿宋" w:eastAsia="仿宋" w:cs="仿宋"/>
          <w:sz w:val="28"/>
          <w:szCs w:val="28"/>
        </w:rPr>
        <w:t>(1)申报。镇人民政府向区自然资源主管部门提出地质灾害隐患点核销申请。其中，地质灾害隐患点范围涉及多个镇的,由受威胁相对较重的 镇牵头提出核销申请。</w:t>
      </w:r>
    </w:p>
    <w:p>
      <w:pPr>
        <w:snapToGrid w:val="0"/>
        <w:ind w:firstLine="560"/>
        <w:rPr>
          <w:rFonts w:ascii="仿宋" w:hAnsi="仿宋" w:eastAsia="仿宋" w:cs="仿宋"/>
          <w:sz w:val="28"/>
          <w:szCs w:val="28"/>
        </w:rPr>
      </w:pPr>
      <w:r>
        <w:rPr>
          <w:rFonts w:hint="eastAsia" w:ascii="仿宋" w:hAnsi="仿宋" w:eastAsia="仿宋" w:cs="仿宋"/>
          <w:sz w:val="28"/>
          <w:szCs w:val="28"/>
        </w:rPr>
        <w:t>(2)调查。区自然资源主管部门负责组织具备地质灾害危险性评估或地质灾害治理工程勘查相应资质的单位开展现场调查核实工作，由调查核实单位出具地质灾害隐患点核销调查报告(表),明确是否核销的意见。其中，未采取避让搬迁、工程 治理、排危除险、专业监测的地质灾害隐患点需组织专家开展现场调查评估，评估结论作为地质灾害隐患点核销调查报告(表)附件。其中，经专业监测设备监测处于稳定状态的地质灾害隐患点，需通过专家或调查单位评估，并按程序核销。</w:t>
      </w:r>
    </w:p>
    <w:p>
      <w:pPr>
        <w:snapToGrid w:val="0"/>
        <w:ind w:firstLine="560"/>
        <w:rPr>
          <w:rFonts w:ascii="仿宋" w:hAnsi="仿宋" w:eastAsia="仿宋" w:cs="仿宋"/>
          <w:sz w:val="28"/>
          <w:szCs w:val="28"/>
        </w:rPr>
      </w:pPr>
      <w:r>
        <w:rPr>
          <w:rFonts w:hint="eastAsia" w:ascii="仿宋" w:hAnsi="仿宋" w:eastAsia="仿宋" w:cs="仿宋"/>
          <w:sz w:val="28"/>
          <w:szCs w:val="28"/>
        </w:rPr>
        <w:t>(3)审查。区自然资源主管部门对核销材料进行审查，对符合核销条件的，应批准同意核销地质灾害隐患点；对不符合核销条件的地质灾害隐患点，应继续加强监管。</w:t>
      </w:r>
    </w:p>
    <w:p>
      <w:pPr>
        <w:snapToGrid w:val="0"/>
        <w:ind w:firstLine="560"/>
        <w:rPr>
          <w:rFonts w:ascii="仿宋" w:hAnsi="仿宋" w:eastAsia="仿宋" w:cs="仿宋"/>
          <w:color w:val="0000FF"/>
          <w:sz w:val="28"/>
          <w:szCs w:val="28"/>
        </w:rPr>
      </w:pPr>
      <w:r>
        <w:rPr>
          <w:rFonts w:hint="eastAsia" w:ascii="仿宋" w:hAnsi="仿宋" w:eastAsia="仿宋" w:cs="仿宋"/>
          <w:sz w:val="28"/>
          <w:szCs w:val="28"/>
        </w:rPr>
        <w:t>(4)公开。区自然资源主管部门应将核销的地质灾害隐患点向社会公开。</w:t>
      </w:r>
    </w:p>
    <w:p>
      <w:pPr>
        <w:pStyle w:val="7"/>
        <w:snapToGrid w:val="0"/>
        <w:spacing w:beforeLines="0" w:afterLines="0"/>
        <w:ind w:firstLine="562"/>
        <w:rPr>
          <w:rFonts w:ascii="仿宋" w:hAnsi="仿宋" w:eastAsia="仿宋" w:cs="仿宋"/>
        </w:rPr>
      </w:pPr>
      <w:r>
        <w:rPr>
          <w:rFonts w:hint="eastAsia" w:ascii="仿宋" w:hAnsi="仿宋" w:eastAsia="仿宋" w:cs="仿宋"/>
        </w:rPr>
        <w:t>3、地质灾害隐患点销号评判要求</w:t>
      </w:r>
    </w:p>
    <w:p>
      <w:pPr>
        <w:snapToGrid w:val="0"/>
        <w:ind w:firstLine="560"/>
        <w:rPr>
          <w:rFonts w:ascii="仿宋" w:hAnsi="仿宋" w:eastAsia="仿宋" w:cs="仿宋"/>
          <w:sz w:val="28"/>
          <w:szCs w:val="28"/>
        </w:rPr>
      </w:pPr>
      <w:r>
        <w:rPr>
          <w:rFonts w:hint="eastAsia" w:ascii="仿宋" w:hAnsi="仿宋" w:eastAsia="仿宋" w:cs="仿宋"/>
          <w:sz w:val="28"/>
          <w:szCs w:val="28"/>
        </w:rPr>
        <w:t>1、工程治理类</w:t>
      </w:r>
    </w:p>
    <w:p>
      <w:pPr>
        <w:snapToGrid w:val="0"/>
        <w:ind w:firstLine="560"/>
        <w:rPr>
          <w:rFonts w:ascii="仿宋" w:hAnsi="仿宋" w:eastAsia="仿宋" w:cs="仿宋"/>
          <w:sz w:val="28"/>
          <w:szCs w:val="28"/>
        </w:rPr>
      </w:pPr>
      <w:r>
        <w:rPr>
          <w:rFonts w:hint="eastAsia" w:ascii="仿宋" w:hAnsi="仿宋" w:eastAsia="仿宋" w:cs="仿宋"/>
          <w:sz w:val="28"/>
          <w:szCs w:val="28"/>
        </w:rPr>
        <w:t>（1）治理工程竣工验收为合格，效果监测结论为稳定的可进行销号，地质灾害治理工程效果监测为稳定应同时满足以下3个条件：</w:t>
      </w:r>
    </w:p>
    <w:p>
      <w:pPr>
        <w:snapToGrid w:val="0"/>
        <w:ind w:firstLine="560"/>
        <w:rPr>
          <w:rFonts w:ascii="仿宋" w:hAnsi="仿宋" w:eastAsia="仿宋" w:cs="仿宋"/>
          <w:sz w:val="28"/>
          <w:szCs w:val="28"/>
        </w:rPr>
      </w:pPr>
      <w:r>
        <w:rPr>
          <w:rFonts w:hint="eastAsia" w:ascii="仿宋" w:hAnsi="仿宋" w:eastAsia="仿宋" w:cs="仿宋"/>
          <w:sz w:val="28"/>
          <w:szCs w:val="28"/>
        </w:rPr>
        <w:t>①效果监测1个水文年以上确定为稳定；</w:t>
      </w:r>
    </w:p>
    <w:p>
      <w:pPr>
        <w:snapToGrid w:val="0"/>
        <w:ind w:firstLine="560"/>
        <w:rPr>
          <w:rFonts w:ascii="仿宋" w:hAnsi="仿宋" w:eastAsia="仿宋" w:cs="仿宋"/>
          <w:sz w:val="28"/>
          <w:szCs w:val="28"/>
        </w:rPr>
      </w:pPr>
      <w:r>
        <w:rPr>
          <w:rFonts w:hint="eastAsia" w:ascii="仿宋" w:hAnsi="仿宋" w:eastAsia="仿宋" w:cs="仿宋"/>
          <w:sz w:val="28"/>
          <w:szCs w:val="28"/>
        </w:rPr>
        <w:t>②现状主体工程（抗滑、支挡结构等）外观完好；</w:t>
      </w:r>
    </w:p>
    <w:p>
      <w:pPr>
        <w:snapToGrid w:val="0"/>
        <w:ind w:firstLine="560"/>
        <w:rPr>
          <w:rFonts w:ascii="仿宋" w:hAnsi="仿宋" w:eastAsia="仿宋" w:cs="仿宋"/>
          <w:sz w:val="28"/>
          <w:szCs w:val="28"/>
        </w:rPr>
      </w:pPr>
      <w:r>
        <w:rPr>
          <w:rFonts w:hint="eastAsia" w:ascii="仿宋" w:hAnsi="仿宋" w:eastAsia="仿宋" w:cs="仿宋"/>
          <w:sz w:val="28"/>
          <w:szCs w:val="28"/>
        </w:rPr>
        <w:t>③地表外观巡査无新的明显变形迹象。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（2）治理工程验收为合格，但无效果监测的，其主体治理工程完好，治理后地表外观巡査无明显变化，可按群测群防点销号技术要求进行销号。</w:t>
      </w:r>
    </w:p>
    <w:p>
      <w:pPr>
        <w:snapToGrid w:val="0"/>
        <w:ind w:firstLine="560"/>
        <w:rPr>
          <w:rFonts w:ascii="仿宋" w:hAnsi="仿宋" w:eastAsia="仿宋" w:cs="仿宋"/>
          <w:sz w:val="28"/>
          <w:szCs w:val="28"/>
        </w:rPr>
      </w:pPr>
      <w:r>
        <w:rPr>
          <w:rFonts w:hint="eastAsia" w:ascii="仿宋" w:hAnsi="仿宋" w:eastAsia="仿宋" w:cs="仿宋"/>
          <w:sz w:val="28"/>
          <w:szCs w:val="28"/>
        </w:rPr>
        <w:t>2、避险搬迁类</w:t>
      </w:r>
    </w:p>
    <w:p>
      <w:pPr>
        <w:snapToGrid w:val="0"/>
        <w:ind w:firstLine="560"/>
        <w:rPr>
          <w:rFonts w:ascii="仿宋" w:hAnsi="仿宋" w:eastAsia="仿宋" w:cs="仿宋"/>
          <w:sz w:val="28"/>
          <w:szCs w:val="28"/>
        </w:rPr>
      </w:pPr>
      <w:r>
        <w:rPr>
          <w:rFonts w:hint="eastAsia" w:ascii="仿宋" w:hAnsi="仿宋" w:eastAsia="仿宋" w:cs="仿宋"/>
          <w:sz w:val="28"/>
          <w:szCs w:val="28"/>
        </w:rPr>
        <w:t>避险搬迁地质灾害点销号应同时满足以下3个条件：</w:t>
      </w:r>
    </w:p>
    <w:p>
      <w:pPr>
        <w:snapToGrid w:val="0"/>
        <w:ind w:firstLine="560"/>
        <w:rPr>
          <w:rFonts w:ascii="仿宋" w:hAnsi="仿宋" w:eastAsia="仿宋" w:cs="仿宋"/>
          <w:sz w:val="28"/>
          <w:szCs w:val="28"/>
        </w:rPr>
      </w:pPr>
      <w:bookmarkStart w:id="432" w:name="bookmark13"/>
      <w:bookmarkEnd w:id="432"/>
      <w:r>
        <w:rPr>
          <w:rFonts w:hint="eastAsia" w:ascii="仿宋" w:hAnsi="仿宋" w:eastAsia="仿宋" w:cs="仿宋"/>
          <w:sz w:val="28"/>
          <w:szCs w:val="28"/>
        </w:rPr>
        <w:t>（1）地质灾害影响范围内除耕地以外的其它保护对象已全部搬迁；</w:t>
      </w:r>
    </w:p>
    <w:p>
      <w:pPr>
        <w:snapToGrid w:val="0"/>
        <w:ind w:firstLine="560"/>
        <w:rPr>
          <w:rFonts w:ascii="仿宋" w:hAnsi="仿宋" w:eastAsia="仿宋" w:cs="仿宋"/>
          <w:sz w:val="28"/>
          <w:szCs w:val="28"/>
        </w:rPr>
      </w:pPr>
      <w:bookmarkStart w:id="433" w:name="bookmark14"/>
      <w:bookmarkEnd w:id="433"/>
      <w:r>
        <w:rPr>
          <w:rFonts w:hint="eastAsia" w:ascii="仿宋" w:hAnsi="仿宋" w:eastAsia="仿宋" w:cs="仿宋"/>
          <w:sz w:val="28"/>
          <w:szCs w:val="28"/>
        </w:rPr>
        <w:t>（2）实施搬迁后原房屋建筑已经拆除，居民不存在回流的可能；</w:t>
      </w:r>
    </w:p>
    <w:p>
      <w:pPr>
        <w:snapToGrid w:val="0"/>
        <w:ind w:firstLine="560"/>
        <w:rPr>
          <w:rFonts w:ascii="仿宋" w:hAnsi="仿宋" w:eastAsia="仿宋" w:cs="仿宋"/>
          <w:sz w:val="28"/>
          <w:szCs w:val="28"/>
        </w:rPr>
      </w:pPr>
      <w:bookmarkStart w:id="434" w:name="bookmark15"/>
      <w:bookmarkEnd w:id="434"/>
      <w:r>
        <w:rPr>
          <w:rFonts w:hint="eastAsia" w:ascii="仿宋" w:hAnsi="仿宋" w:eastAsia="仿宋" w:cs="仿宋"/>
          <w:sz w:val="28"/>
          <w:szCs w:val="28"/>
        </w:rPr>
        <w:t>（3）避险搬迁地质灾害点已经设置警示标志或防护设施。</w:t>
      </w:r>
    </w:p>
    <w:p>
      <w:pPr>
        <w:snapToGrid w:val="0"/>
        <w:ind w:firstLine="560"/>
        <w:rPr>
          <w:rFonts w:ascii="仿宋" w:hAnsi="仿宋" w:eastAsia="仿宋" w:cs="仿宋"/>
          <w:sz w:val="28"/>
          <w:szCs w:val="28"/>
        </w:rPr>
      </w:pPr>
      <w:r>
        <w:rPr>
          <w:rFonts w:hint="eastAsia" w:ascii="仿宋" w:hAnsi="仿宋" w:eastAsia="仿宋" w:cs="仿宋"/>
          <w:sz w:val="28"/>
          <w:szCs w:val="28"/>
        </w:rPr>
        <w:t>3、群测群防类地质灾害隐患点销号评判要求</w:t>
      </w:r>
    </w:p>
    <w:p>
      <w:pPr>
        <w:snapToGrid w:val="0"/>
        <w:ind w:firstLine="560"/>
        <w:rPr>
          <w:rFonts w:ascii="仿宋" w:hAnsi="仿宋" w:eastAsia="仿宋" w:cs="仿宋"/>
          <w:sz w:val="28"/>
          <w:szCs w:val="28"/>
        </w:rPr>
      </w:pPr>
      <w:r>
        <w:rPr>
          <w:rFonts w:hint="eastAsia" w:ascii="仿宋" w:hAnsi="仿宋" w:eastAsia="仿宋" w:cs="仿宋"/>
          <w:sz w:val="28"/>
          <w:szCs w:val="28"/>
        </w:rPr>
        <w:t>群测群防地质灾害点销号应同时满足地质灾害宏观稳定性判断为稳定，最低监测年限内的监测数据无明显变化及最低监测年限内灾害体无明显变形迹象。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（1）对于地质灾害险情为小型的，应同时满足地质灾害宏观稳定性判断为稳定、群测群防近3个水文年以上监测数据无明显变化及近3个水文年内灾害体无明显变形迹象；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（2）对于地质灾害险情为中型的，应同时满足地质灾害宏观稳定性判断为稳定、群测群防近4个水文年以上监测数据无明显变化及近4个水文年内灾害体无明显变形迹象；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（3）对于地质灾害险情为大型或特大型的，应同时满足地质灾害稳定性判断为稳定、群测群防近5个水文年以上监测数据无明显变化及近5个水文年内灾害体无明显变形迹象。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4、地质灾害隐患点销号资料整理要求</w:t>
      </w:r>
    </w:p>
    <w:p>
      <w:pPr>
        <w:snapToGrid w:val="0"/>
        <w:ind w:firstLine="560"/>
        <w:rPr>
          <w:rFonts w:ascii="仿宋" w:hAnsi="仿宋" w:eastAsia="仿宋" w:cs="仿宋"/>
          <w:sz w:val="28"/>
          <w:szCs w:val="28"/>
        </w:rPr>
      </w:pPr>
      <w:r>
        <w:rPr>
          <w:rFonts w:hint="eastAsia" w:ascii="仿宋" w:hAnsi="仿宋" w:eastAsia="仿宋" w:cs="仿宋"/>
          <w:sz w:val="28"/>
          <w:szCs w:val="28"/>
        </w:rPr>
        <w:t>（1）按地质灾害隐患点的现状处置措施，分别填写相应的销号说明表；</w:t>
      </w:r>
    </w:p>
    <w:p>
      <w:pPr>
        <w:snapToGrid w:val="0"/>
        <w:ind w:firstLine="560"/>
        <w:rPr>
          <w:rFonts w:ascii="仿宋" w:hAnsi="仿宋" w:eastAsia="仿宋" w:cs="仿宋"/>
          <w:sz w:val="28"/>
          <w:szCs w:val="28"/>
        </w:rPr>
      </w:pPr>
      <w:r>
        <w:rPr>
          <w:rFonts w:hint="eastAsia" w:ascii="仿宋" w:hAnsi="仿宋" w:eastAsia="仿宋" w:cs="仿宋"/>
          <w:sz w:val="28"/>
          <w:szCs w:val="28"/>
        </w:rPr>
        <w:t>（2）对于单个销号的地质灾害点，应填写单点销号说明表，并附原销号点的群测群防卡片、自然资源部门的地质灾害隐患点销号备案登记表、销号点相关证明材料等；</w:t>
      </w:r>
    </w:p>
    <w:p>
      <w:pPr>
        <w:snapToGrid w:val="0"/>
        <w:ind w:firstLine="560"/>
        <w:rPr>
          <w:rFonts w:ascii="仿宋" w:hAnsi="仿宋" w:eastAsia="仿宋" w:cs="仿宋"/>
          <w:sz w:val="28"/>
          <w:szCs w:val="28"/>
        </w:rPr>
      </w:pPr>
      <w:r>
        <w:rPr>
          <w:rFonts w:hint="eastAsia" w:ascii="仿宋" w:hAnsi="仿宋" w:eastAsia="仿宋" w:cs="仿宋"/>
          <w:sz w:val="28"/>
          <w:szCs w:val="28"/>
        </w:rPr>
        <w:t>（3）对于以区或镇为单位集中进行地质灾害隐患点销号的，应编制地质灾害隐患点销号报告，报告内容应包括目的、任务、销号工作范围、执行的技术标准或要求、工作概况、销号点的分类、基本概况、销号依据、结论建议等；</w:t>
      </w:r>
    </w:p>
    <w:p>
      <w:pPr>
        <w:snapToGrid w:val="0"/>
        <w:ind w:firstLine="560"/>
        <w:rPr>
          <w:rFonts w:ascii="仿宋" w:hAnsi="仿宋" w:eastAsia="仿宋" w:cs="仿宋"/>
          <w:sz w:val="28"/>
          <w:szCs w:val="28"/>
        </w:rPr>
      </w:pPr>
      <w:r>
        <w:rPr>
          <w:rFonts w:hint="eastAsia" w:ascii="仿宋" w:hAnsi="仿宋" w:eastAsia="仿宋" w:cs="仿宋"/>
          <w:sz w:val="28"/>
          <w:szCs w:val="28"/>
        </w:rPr>
        <w:t>（4）地质灾害隐患点销号报告附件应包括销号点汇总表、原销号点的群测群防卡片、销号说明表、自然资源部门的地质灾害隐患点销号备案登记表、销号点相关证明材料。</w:t>
      </w:r>
    </w:p>
    <w:p>
      <w:pPr>
        <w:snapToGrid w:val="0"/>
        <w:ind w:firstLine="560"/>
        <w:rPr>
          <w:rFonts w:ascii="仿宋" w:hAnsi="仿宋" w:eastAsia="仿宋" w:cs="仿宋"/>
          <w:sz w:val="28"/>
          <w:szCs w:val="28"/>
        </w:rPr>
      </w:pPr>
      <w:r>
        <w:rPr>
          <w:rFonts w:hint="eastAsia" w:ascii="仿宋" w:hAnsi="仿宋" w:eastAsia="仿宋" w:cs="仿宋"/>
          <w:sz w:val="28"/>
          <w:szCs w:val="28"/>
        </w:rPr>
        <w:t>销号点相关证明材料应包括以下内容：</w:t>
      </w:r>
    </w:p>
    <w:p>
      <w:pPr>
        <w:snapToGrid w:val="0"/>
        <w:ind w:firstLine="560"/>
        <w:rPr>
          <w:rFonts w:ascii="仿宋" w:hAnsi="仿宋" w:eastAsia="仿宋" w:cs="仿宋"/>
          <w:sz w:val="28"/>
          <w:szCs w:val="28"/>
        </w:rPr>
      </w:pPr>
      <w:r>
        <w:rPr>
          <w:rFonts w:hint="eastAsia" w:ascii="仿宋" w:hAnsi="仿宋" w:eastAsia="仿宋" w:cs="仿宋"/>
          <w:sz w:val="28"/>
          <w:szCs w:val="28"/>
        </w:rPr>
        <w:t>工程治理地质灾害点：应附该地质灾害点治理工程竣工验收报告、效果监测报告。</w:t>
      </w:r>
    </w:p>
    <w:p>
      <w:pPr>
        <w:snapToGrid w:val="0"/>
        <w:ind w:firstLine="560"/>
        <w:rPr>
          <w:rFonts w:ascii="仿宋" w:hAnsi="仿宋" w:eastAsia="仿宋" w:cs="仿宋"/>
          <w:sz w:val="28"/>
          <w:szCs w:val="28"/>
        </w:rPr>
      </w:pPr>
      <w:r>
        <w:rPr>
          <w:rFonts w:hint="eastAsia" w:ascii="仿宋" w:hAnsi="仿宋" w:eastAsia="仿宋" w:cs="仿宋"/>
          <w:sz w:val="28"/>
          <w:szCs w:val="28"/>
        </w:rPr>
        <w:t>避险搬迁地质灾害点：应附责任单位出具的搬迁情况说明、主管部门出具的验收证明文件。</w:t>
      </w:r>
    </w:p>
    <w:p>
      <w:pPr>
        <w:snapToGrid w:val="0"/>
        <w:ind w:firstLine="560"/>
        <w:rPr>
          <w:rFonts w:ascii="仿宋" w:hAnsi="仿宋" w:eastAsia="仿宋" w:cs="仿宋"/>
          <w:sz w:val="28"/>
          <w:szCs w:val="28"/>
        </w:rPr>
      </w:pPr>
      <w:r>
        <w:rPr>
          <w:rFonts w:hint="eastAsia" w:ascii="仿宋" w:hAnsi="仿宋" w:eastAsia="仿宋" w:cs="仿宋"/>
          <w:sz w:val="28"/>
          <w:szCs w:val="28"/>
        </w:rPr>
        <w:t>群测群防地质灾害点：应附责任单位出具的群测群防监测数据无明显变化证明文件工程建设活动导致灾害体已经灭失的，应附该工程活动与灾害体的相对位置、开挖前后照片等资料。</w:t>
      </w:r>
    </w:p>
    <w:p>
      <w:pPr>
        <w:snapToGrid w:val="0"/>
        <w:ind w:firstLine="560"/>
        <w:rPr>
          <w:rFonts w:ascii="仿宋" w:hAnsi="仿宋" w:eastAsia="仿宋" w:cs="仿宋"/>
          <w:sz w:val="28"/>
          <w:szCs w:val="28"/>
        </w:rPr>
      </w:pPr>
      <w:r>
        <w:rPr>
          <w:rFonts w:hint="eastAsia" w:ascii="仿宋" w:hAnsi="仿宋" w:eastAsia="仿宋" w:cs="仿宋"/>
          <w:sz w:val="28"/>
          <w:szCs w:val="28"/>
        </w:rPr>
        <w:t>5、地质灾害隐患点销号后期管理</w:t>
      </w:r>
    </w:p>
    <w:p>
      <w:pPr>
        <w:snapToGrid w:val="0"/>
        <w:ind w:firstLine="560"/>
        <w:rPr>
          <w:rFonts w:ascii="仿宋" w:hAnsi="仿宋" w:eastAsia="仿宋" w:cs="仿宋"/>
          <w:sz w:val="28"/>
          <w:szCs w:val="28"/>
        </w:rPr>
      </w:pPr>
      <w:r>
        <w:rPr>
          <w:rFonts w:hint="eastAsia" w:ascii="仿宋" w:hAnsi="仿宋" w:eastAsia="仿宋" w:cs="仿宋"/>
          <w:sz w:val="28"/>
          <w:szCs w:val="28"/>
        </w:rPr>
        <w:t>（1）已批准销号的地质灾害隐患点应在所在地县级以上人民政府自然资源主管部门进行备案，并予以公告；</w:t>
      </w:r>
    </w:p>
    <w:p>
      <w:pPr>
        <w:snapToGrid w:val="0"/>
        <w:ind w:firstLine="560"/>
        <w:rPr>
          <w:rFonts w:ascii="仿宋" w:hAnsi="仿宋" w:eastAsia="仿宋" w:cs="仿宋"/>
          <w:sz w:val="28"/>
          <w:szCs w:val="28"/>
        </w:rPr>
      </w:pPr>
      <w:r>
        <w:rPr>
          <w:rFonts w:hint="eastAsia" w:ascii="仿宋" w:hAnsi="仿宋" w:eastAsia="仿宋" w:cs="仿宋"/>
          <w:sz w:val="28"/>
          <w:szCs w:val="28"/>
        </w:rPr>
        <w:t>（2）己批准销号的地质灾害隐患点应纳入地质灾害管理数据库，并填写已销号地质灾害隐患点回访表，进行后期管理和回访，以加强动态管理；</w:t>
      </w:r>
    </w:p>
    <w:p>
      <w:pPr>
        <w:snapToGrid w:val="0"/>
        <w:ind w:firstLine="560"/>
        <w:rPr>
          <w:rFonts w:ascii="仿宋" w:hAnsi="仿宋" w:eastAsia="仿宋" w:cs="仿宋"/>
          <w:sz w:val="28"/>
          <w:szCs w:val="28"/>
        </w:rPr>
      </w:pPr>
      <w:r>
        <w:rPr>
          <w:rFonts w:hint="eastAsia" w:ascii="仿宋" w:hAnsi="仿宋" w:eastAsia="仿宋" w:cs="仿宋"/>
          <w:sz w:val="28"/>
          <w:szCs w:val="28"/>
        </w:rPr>
        <w:t>（3）销号的地质灾害隐患点回访应由责任单位或责任单位委托专业技术单位完成，原则上一年不少于一次，在遇到极端天气时，也应进行回访，如有除耕地之外的保护对象且有新的变形险情时，应重新纳入地质灾害群测群防体系，并及时更新地质灾害数据库信息。</w:t>
      </w:r>
    </w:p>
    <w:p>
      <w:pPr>
        <w:snapToGrid w:val="0"/>
        <w:ind w:firstLine="560"/>
        <w:rPr>
          <w:rFonts w:ascii="仿宋" w:hAnsi="仿宋" w:eastAsia="仿宋" w:cs="仿宋"/>
          <w:sz w:val="28"/>
          <w:szCs w:val="28"/>
        </w:rPr>
      </w:pPr>
      <w:r>
        <w:rPr>
          <w:rFonts w:hint="eastAsia" w:ascii="仿宋" w:hAnsi="仿宋" w:eastAsia="仿宋" w:cs="仿宋"/>
          <w:sz w:val="28"/>
          <w:szCs w:val="28"/>
        </w:rPr>
        <w:t>6、总体任务部署</w:t>
      </w:r>
    </w:p>
    <w:p>
      <w:pPr>
        <w:snapToGrid w:val="0"/>
        <w:ind w:firstLine="560"/>
        <w:rPr>
          <w:rFonts w:ascii="仿宋" w:hAnsi="仿宋" w:eastAsia="仿宋" w:cs="仿宋"/>
          <w:sz w:val="28"/>
          <w:szCs w:val="28"/>
        </w:rPr>
      </w:pPr>
      <w:r>
        <w:rPr>
          <w:rFonts w:hint="eastAsia" w:ascii="仿宋" w:hAnsi="仿宋" w:eastAsia="仿宋" w:cs="仿宋"/>
          <w:sz w:val="28"/>
          <w:szCs w:val="28"/>
        </w:rPr>
        <w:t>根据相关规范和技术要求，对于多年来无明显变化的群测群防点进行核实销号。本次确定将7处地质灾害隐患点进行核实销号（表5-4）。</w:t>
      </w:r>
    </w:p>
    <w:p>
      <w:pPr>
        <w:pStyle w:val="2"/>
        <w:snapToGrid w:val="0"/>
        <w:spacing w:line="360" w:lineRule="auto"/>
      </w:pPr>
      <w:r>
        <w:rPr>
          <w:rFonts w:ascii="仿宋" w:hAnsi="仿宋" w:eastAsia="仿宋"/>
          <w:b/>
          <w:bCs/>
          <w:sz w:val="21"/>
          <w:szCs w:val="21"/>
        </w:rPr>
        <w:t>表</w:t>
      </w:r>
      <w:r>
        <w:rPr>
          <w:rFonts w:hint="eastAsia" w:ascii="仿宋" w:hAnsi="仿宋" w:eastAsia="仿宋"/>
          <w:b/>
          <w:bCs/>
          <w:sz w:val="21"/>
          <w:szCs w:val="21"/>
        </w:rPr>
        <w:t xml:space="preserve">5-4  </w:t>
      </w:r>
      <w:r>
        <w:rPr>
          <w:rFonts w:ascii="仿宋" w:hAnsi="仿宋" w:eastAsia="仿宋"/>
          <w:b/>
          <w:bCs/>
          <w:sz w:val="21"/>
          <w:szCs w:val="21"/>
        </w:rPr>
        <w:t>拟核实销号点汇总表</w:t>
      </w:r>
    </w:p>
    <w:tbl>
      <w:tblPr>
        <w:tblStyle w:val="33"/>
        <w:tblW w:w="8981" w:type="dxa"/>
        <w:tblInd w:w="96" w:type="dxa"/>
        <w:tblLayout w:type="autofit"/>
        <w:tblCellMar>
          <w:top w:w="0" w:type="dxa"/>
          <w:left w:w="108" w:type="dxa"/>
          <w:bottom w:w="0" w:type="dxa"/>
          <w:right w:w="108" w:type="dxa"/>
        </w:tblCellMar>
      </w:tblPr>
      <w:tblGrid>
        <w:gridCol w:w="680"/>
        <w:gridCol w:w="4030"/>
        <w:gridCol w:w="1541"/>
        <w:gridCol w:w="1191"/>
        <w:gridCol w:w="1539"/>
      </w:tblGrid>
      <w:tr>
        <w:tblPrEx>
          <w:tblCellMar>
            <w:top w:w="0" w:type="dxa"/>
            <w:left w:w="108" w:type="dxa"/>
            <w:bottom w:w="0" w:type="dxa"/>
            <w:right w:w="108" w:type="dxa"/>
          </w:tblCellMar>
        </w:tblPrEx>
        <w:trPr>
          <w:trHeight w:val="340" w:hRule="atLeast"/>
        </w:trPr>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序号</w:t>
            </w:r>
          </w:p>
        </w:tc>
        <w:tc>
          <w:tcPr>
            <w:tcW w:w="4030"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隐患点名称</w:t>
            </w:r>
          </w:p>
        </w:tc>
        <w:tc>
          <w:tcPr>
            <w:tcW w:w="1541"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威胁户数(户)</w:t>
            </w:r>
          </w:p>
        </w:tc>
        <w:tc>
          <w:tcPr>
            <w:tcW w:w="1191" w:type="dxa"/>
            <w:tcBorders>
              <w:top w:val="single" w:color="000000" w:sz="8" w:space="0"/>
              <w:left w:val="nil"/>
              <w:bottom w:val="nil"/>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威胁人数</w:t>
            </w:r>
          </w:p>
        </w:tc>
        <w:tc>
          <w:tcPr>
            <w:tcW w:w="1539" w:type="dxa"/>
            <w:tcBorders>
              <w:top w:val="single" w:color="000000" w:sz="8" w:space="0"/>
              <w:left w:val="nil"/>
              <w:bottom w:val="nil"/>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计划实施年度</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40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石麟镇张坳口村7组垮山坡滑坡</w:t>
            </w:r>
          </w:p>
        </w:tc>
        <w:tc>
          <w:tcPr>
            <w:tcW w:w="1541"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1191"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1539"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石麟镇张坳口村9组窖子坡崩塌</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西坝镇高峰村2组寨子下崩塌</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西坝镇向荣村4组托家沟滑坡</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金粟镇金江村1组滑坡</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21</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90</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金粟镇五一村2组白虎山滑坡</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竹根镇佑君社区建设街龙埂山崩塌</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bl>
    <w:p>
      <w:pPr>
        <w:pStyle w:val="6"/>
        <w:snapToGrid w:val="0"/>
        <w:spacing w:beforeLines="0" w:afterLines="0"/>
        <w:ind w:firstLine="562" w:firstLineChars="200"/>
        <w:rPr>
          <w:rFonts w:cs="仿宋"/>
          <w:szCs w:val="28"/>
        </w:rPr>
      </w:pPr>
      <w:bookmarkStart w:id="435" w:name="_Toc18822"/>
      <w:bookmarkStart w:id="436" w:name="_Toc12449"/>
      <w:r>
        <w:rPr>
          <w:rFonts w:hint="eastAsia" w:cs="仿宋"/>
          <w:szCs w:val="28"/>
        </w:rPr>
        <w:t>四、开展地质灾害“工程治理＋”</w:t>
      </w:r>
      <w:bookmarkEnd w:id="435"/>
      <w:bookmarkEnd w:id="436"/>
    </w:p>
    <w:p>
      <w:pPr>
        <w:snapToGrid w:val="0"/>
        <w:ind w:firstLine="560"/>
        <w:rPr>
          <w:rFonts w:ascii="仿宋" w:hAnsi="仿宋" w:eastAsia="仿宋" w:cs="仿宋"/>
          <w:sz w:val="28"/>
          <w:szCs w:val="28"/>
        </w:rPr>
      </w:pPr>
      <w:r>
        <w:rPr>
          <w:rFonts w:hint="eastAsia" w:ascii="仿宋" w:hAnsi="仿宋" w:eastAsia="仿宋" w:cs="仿宋"/>
          <w:sz w:val="28"/>
          <w:szCs w:val="28"/>
        </w:rPr>
        <w:t>按照“谁投资、谁受益”原则，充分利用生态移民、新农村建设、土地整治、生态环境保护等政策，采取政策性支持和市场化手段，拓宽资金投入渠道，以消除地质灾害威胁为基础，因地制宜打造兼顾生态修复、生态旅游开发等“有投入、有产出”综合治理项目，实现防灾减灾与富民安居有机结合。</w:t>
      </w:r>
    </w:p>
    <w:p>
      <w:pPr>
        <w:pStyle w:val="5"/>
        <w:snapToGrid w:val="0"/>
        <w:spacing w:beforeLines="0"/>
        <w:jc w:val="center"/>
        <w:rPr>
          <w:rStyle w:val="95"/>
          <w:rFonts w:ascii="仿宋" w:hAnsi="仿宋" w:eastAsia="仿宋" w:cs="仿宋"/>
          <w:sz w:val="30"/>
        </w:rPr>
      </w:pPr>
      <w:bookmarkStart w:id="437" w:name="_Toc30344"/>
      <w:bookmarkStart w:id="438" w:name="_Toc10483"/>
      <w:bookmarkStart w:id="439" w:name="_Toc19068"/>
      <w:r>
        <w:rPr>
          <w:rStyle w:val="95"/>
          <w:rFonts w:hint="eastAsia" w:ascii="仿宋" w:hAnsi="仿宋" w:eastAsia="仿宋" w:cs="仿宋"/>
          <w:sz w:val="30"/>
        </w:rPr>
        <w:t>第五节 加大科技创新和科研投入，提升信息化支撑服务水平</w:t>
      </w:r>
      <w:bookmarkEnd w:id="437"/>
      <w:bookmarkEnd w:id="438"/>
      <w:bookmarkEnd w:id="439"/>
    </w:p>
    <w:p>
      <w:pPr>
        <w:pStyle w:val="6"/>
        <w:snapToGrid w:val="0"/>
        <w:spacing w:beforeLines="0" w:afterLines="0"/>
        <w:ind w:firstLine="562" w:firstLineChars="200"/>
        <w:rPr>
          <w:rFonts w:cs="仿宋"/>
          <w:szCs w:val="28"/>
        </w:rPr>
      </w:pPr>
      <w:bookmarkStart w:id="440" w:name="_Toc20117"/>
      <w:bookmarkStart w:id="441" w:name="_Toc1427"/>
      <w:r>
        <w:rPr>
          <w:rFonts w:hint="eastAsia" w:cs="仿宋"/>
          <w:szCs w:val="28"/>
        </w:rPr>
        <w:t>一、加强地质灾害技术支持智能化水平</w:t>
      </w:r>
      <w:bookmarkEnd w:id="440"/>
      <w:bookmarkEnd w:id="441"/>
    </w:p>
    <w:p>
      <w:pPr>
        <w:snapToGrid w:val="0"/>
        <w:ind w:firstLine="560"/>
        <w:rPr>
          <w:rFonts w:ascii="仿宋" w:hAnsi="仿宋" w:eastAsia="仿宋" w:cs="仿宋"/>
          <w:sz w:val="28"/>
          <w:szCs w:val="28"/>
        </w:rPr>
      </w:pPr>
      <w:r>
        <w:rPr>
          <w:rFonts w:hint="eastAsia" w:ascii="仿宋" w:hAnsi="仿宋" w:eastAsia="仿宋" w:cs="仿宋"/>
          <w:sz w:val="28"/>
          <w:szCs w:val="28"/>
        </w:rPr>
        <w:t>充分利用5G、物联网、云计算、人工智能等前沿技术，开发地质灾害隐患点和风险区双控智能化软硬件设备，为各级防灾人员提供详细直观的管理手段。升级和推广配套应用程序，推动社会公众便捷化识灾防灾避灾。拓展地质灾害项目管理系统模块，为地质灾害项目和资金科学化管理提供智能化支持。逐步建设地质灾害监测预警和风险管控调度中心，为实现及时高效预警提供决策支撑服务。</w:t>
      </w:r>
    </w:p>
    <w:p>
      <w:pPr>
        <w:pStyle w:val="6"/>
        <w:snapToGrid w:val="0"/>
        <w:spacing w:beforeLines="0" w:afterLines="0"/>
        <w:ind w:firstLine="562" w:firstLineChars="200"/>
        <w:rPr>
          <w:rFonts w:cs="仿宋"/>
          <w:szCs w:val="28"/>
        </w:rPr>
      </w:pPr>
      <w:bookmarkStart w:id="442" w:name="_Toc9978"/>
      <w:bookmarkStart w:id="443" w:name="_Toc18653"/>
      <w:r>
        <w:rPr>
          <w:rFonts w:hint="eastAsia" w:cs="仿宋"/>
          <w:szCs w:val="28"/>
        </w:rPr>
        <w:t>二、推动地质灾害防治一体化平台升级</w:t>
      </w:r>
      <w:bookmarkEnd w:id="442"/>
      <w:bookmarkEnd w:id="443"/>
    </w:p>
    <w:p>
      <w:pPr>
        <w:snapToGrid w:val="0"/>
        <w:ind w:firstLine="560"/>
        <w:rPr>
          <w:rFonts w:ascii="仿宋" w:hAnsi="仿宋" w:eastAsia="仿宋" w:cs="仿宋"/>
          <w:sz w:val="28"/>
          <w:szCs w:val="28"/>
        </w:rPr>
      </w:pPr>
      <w:r>
        <w:rPr>
          <w:rFonts w:hint="eastAsia" w:ascii="仿宋" w:hAnsi="仿宋" w:eastAsia="仿宋" w:cs="仿宋"/>
          <w:sz w:val="28"/>
          <w:szCs w:val="28"/>
        </w:rPr>
        <w:t>加快地质灾害防治一体化平台升级改造。依托现有省级地质环境管理信息系统、省级地质灾害气象预警预报系统和省级地质灾害监测预警平台，升级打造地质灾害防治管理一体化平台，运用四川地灾智防APP，实现数据互联互通，整体提升地质灾害监测预警、会商调度、辅助决策及项目和资金管理效率。鼓励各企事业单位基于地质灾害智慧防灾云系统研发拓展地质灾害防治数字化模块和分布式系统，逐步实现“平台共用、数据开源、研发聚力、受益共享”。</w:t>
      </w:r>
    </w:p>
    <w:p>
      <w:pPr>
        <w:pStyle w:val="6"/>
        <w:snapToGrid w:val="0"/>
        <w:spacing w:beforeLines="0" w:afterLines="0"/>
        <w:ind w:firstLine="562" w:firstLineChars="200"/>
        <w:rPr>
          <w:rFonts w:cs="仿宋"/>
          <w:szCs w:val="28"/>
        </w:rPr>
      </w:pPr>
      <w:bookmarkStart w:id="444" w:name="_Toc8876"/>
      <w:bookmarkStart w:id="445" w:name="_Toc32684"/>
      <w:r>
        <w:rPr>
          <w:rFonts w:hint="eastAsia" w:cs="仿宋"/>
          <w:szCs w:val="28"/>
        </w:rPr>
        <w:t>三、加快地质灾害防治关键技术科研攻关</w:t>
      </w:r>
      <w:bookmarkEnd w:id="444"/>
      <w:bookmarkEnd w:id="445"/>
    </w:p>
    <w:p>
      <w:pPr>
        <w:snapToGrid w:val="0"/>
        <w:ind w:firstLine="560"/>
        <w:rPr>
          <w:rFonts w:ascii="仿宋" w:hAnsi="仿宋" w:eastAsia="仿宋" w:cs="仿宋"/>
          <w:sz w:val="28"/>
          <w:szCs w:val="28"/>
        </w:rPr>
      </w:pPr>
      <w:r>
        <w:rPr>
          <w:rFonts w:hint="eastAsia" w:ascii="仿宋" w:hAnsi="仿宋" w:eastAsia="仿宋" w:cs="仿宋"/>
          <w:sz w:val="28"/>
          <w:szCs w:val="28"/>
        </w:rPr>
        <w:t>依托四川省国土空间生态修复与地质灾害防治研究院，加强同国内外科研院所、地勘队伍及高新企业合作，重点围绕地质灾害成灾机理、风险调查模型方法、综合遥感融合分析技术，以及地质灾害智能化监测预警与风险防控等技术攻关，积极开展具有前瞻性的科技项目，强化创新成果融合应用。鼓励地方单位积极开展地质灾害前沿科技创新项目（课题），不断提升地质灾害防治科技研用水平。</w:t>
      </w:r>
    </w:p>
    <w:p>
      <w:pPr>
        <w:pStyle w:val="5"/>
        <w:snapToGrid w:val="0"/>
        <w:spacing w:beforeLines="0"/>
        <w:jc w:val="center"/>
        <w:rPr>
          <w:rStyle w:val="95"/>
          <w:rFonts w:ascii="仿宋" w:hAnsi="仿宋" w:eastAsia="仿宋" w:cs="仿宋"/>
          <w:sz w:val="30"/>
        </w:rPr>
      </w:pPr>
      <w:bookmarkStart w:id="446" w:name="_Toc9064"/>
      <w:bookmarkStart w:id="447" w:name="_Toc18470"/>
      <w:bookmarkStart w:id="448" w:name="_Toc16730"/>
      <w:r>
        <w:rPr>
          <w:rStyle w:val="95"/>
          <w:rFonts w:hint="eastAsia" w:ascii="仿宋" w:hAnsi="仿宋" w:eastAsia="仿宋" w:cs="仿宋"/>
          <w:sz w:val="30"/>
        </w:rPr>
        <w:t>第六节 推动地质灾害防治能力建设，增强全社会防灾抗灾能力</w:t>
      </w:r>
      <w:bookmarkEnd w:id="446"/>
      <w:bookmarkEnd w:id="447"/>
      <w:bookmarkEnd w:id="448"/>
    </w:p>
    <w:p>
      <w:pPr>
        <w:pStyle w:val="6"/>
        <w:snapToGrid w:val="0"/>
        <w:spacing w:beforeLines="0" w:afterLines="0"/>
        <w:ind w:firstLine="562" w:firstLineChars="200"/>
        <w:rPr>
          <w:rFonts w:cs="仿宋"/>
          <w:szCs w:val="28"/>
        </w:rPr>
      </w:pPr>
      <w:bookmarkStart w:id="449" w:name="_Toc22647"/>
      <w:bookmarkStart w:id="450" w:name="_Toc16681"/>
      <w:r>
        <w:rPr>
          <w:rFonts w:hint="eastAsia" w:cs="仿宋"/>
          <w:szCs w:val="28"/>
        </w:rPr>
        <w:t>一、提高地质灾害专业技术支撑水平</w:t>
      </w:r>
      <w:bookmarkEnd w:id="449"/>
      <w:bookmarkEnd w:id="450"/>
    </w:p>
    <w:p>
      <w:pPr>
        <w:snapToGrid w:val="0"/>
        <w:ind w:firstLine="560"/>
        <w:rPr>
          <w:rFonts w:ascii="仿宋" w:hAnsi="仿宋" w:eastAsia="仿宋" w:cs="仿宋"/>
          <w:sz w:val="28"/>
          <w:szCs w:val="28"/>
        </w:rPr>
      </w:pPr>
      <w:r>
        <w:rPr>
          <w:rFonts w:hint="eastAsia" w:ascii="仿宋" w:hAnsi="仿宋" w:eastAsia="仿宋" w:cs="仿宋"/>
          <w:sz w:val="28"/>
          <w:szCs w:val="28"/>
        </w:rPr>
        <w:t>结合五通桥区地质灾害防治工作，深入推进应急技术核心保障体系建设，提升地质灾害应急技术支撑装备配备。本区购买技术支撑服务和开展应急装备升级，为快速、及时、高效实施地质灾害应急处置提供保障。</w:t>
      </w:r>
    </w:p>
    <w:p>
      <w:pPr>
        <w:pStyle w:val="6"/>
        <w:snapToGrid w:val="0"/>
        <w:spacing w:beforeLines="0" w:afterLines="0"/>
        <w:ind w:firstLine="562" w:firstLineChars="200"/>
        <w:rPr>
          <w:rFonts w:cs="仿宋"/>
          <w:szCs w:val="28"/>
        </w:rPr>
      </w:pPr>
      <w:bookmarkStart w:id="451" w:name="_Toc26812"/>
      <w:bookmarkStart w:id="452" w:name="_Toc1523"/>
      <w:bookmarkStart w:id="453" w:name="_Toc286138033"/>
      <w:bookmarkStart w:id="454" w:name="_Toc305848514"/>
      <w:r>
        <w:rPr>
          <w:rFonts w:hint="eastAsia" w:cs="仿宋"/>
          <w:szCs w:val="28"/>
        </w:rPr>
        <w:t>二、健全地质灾害法规政策和管理制度</w:t>
      </w:r>
      <w:bookmarkEnd w:id="451"/>
      <w:bookmarkEnd w:id="452"/>
    </w:p>
    <w:p>
      <w:pPr>
        <w:snapToGrid w:val="0"/>
        <w:ind w:firstLine="560"/>
        <w:rPr>
          <w:rFonts w:ascii="仿宋" w:hAnsi="仿宋" w:eastAsia="仿宋" w:cs="仿宋"/>
          <w:sz w:val="28"/>
          <w:szCs w:val="28"/>
        </w:rPr>
      </w:pPr>
      <w:r>
        <w:rPr>
          <w:rFonts w:hint="eastAsia" w:ascii="仿宋" w:hAnsi="仿宋" w:eastAsia="仿宋" w:cs="仿宋"/>
          <w:sz w:val="28"/>
          <w:szCs w:val="28"/>
        </w:rPr>
        <w:t>推进以地方性法规、地方政府规章和政策文件共同构成的新时期地质灾害法规政策体系建设。制定涵盖风险管控、项目资金管理等制度规范，形成权责更加明晰、管理更加顺畅的地质灾害管理制度体系。</w:t>
      </w:r>
    </w:p>
    <w:p>
      <w:pPr>
        <w:pStyle w:val="6"/>
        <w:snapToGrid w:val="0"/>
        <w:spacing w:beforeLines="0" w:afterLines="0"/>
        <w:ind w:firstLine="562" w:firstLineChars="200"/>
        <w:rPr>
          <w:rFonts w:cs="仿宋"/>
          <w:szCs w:val="28"/>
        </w:rPr>
      </w:pPr>
      <w:bookmarkStart w:id="455" w:name="_Toc23662"/>
      <w:bookmarkStart w:id="456" w:name="_Toc35"/>
      <w:r>
        <w:rPr>
          <w:rFonts w:hint="eastAsia" w:cs="仿宋"/>
          <w:szCs w:val="28"/>
        </w:rPr>
        <w:t>三、提升基层防灾减灾能力</w:t>
      </w:r>
      <w:bookmarkEnd w:id="455"/>
      <w:bookmarkEnd w:id="456"/>
    </w:p>
    <w:p>
      <w:pPr>
        <w:snapToGrid w:val="0"/>
        <w:ind w:firstLine="560"/>
        <w:rPr>
          <w:rFonts w:ascii="仿宋" w:hAnsi="仿宋" w:eastAsia="仿宋" w:cs="仿宋"/>
          <w:sz w:val="28"/>
          <w:szCs w:val="28"/>
        </w:rPr>
      </w:pPr>
      <w:r>
        <w:rPr>
          <w:rFonts w:hint="eastAsia" w:ascii="仿宋" w:hAnsi="仿宋" w:eastAsia="仿宋" w:cs="仿宋"/>
          <w:sz w:val="28"/>
          <w:szCs w:val="28"/>
        </w:rPr>
        <w:t>实施基层动员能力建设，通过政府购买服务、建立工作联动机制等方式引入专业地勘单位、志愿者和行业专家等力量参与基层防灾工作，充实基层防灾力量。建立健全地质灾害防治科普产品体系，提升群众避险撤离自觉性和自救互救能力。每年全覆盖本区开展至少一次宣传培训和避险演练，持续提高识灾防灾避灾意识和能力。</w:t>
      </w:r>
    </w:p>
    <w:p>
      <w:pPr>
        <w:pStyle w:val="5"/>
        <w:snapToGrid w:val="0"/>
        <w:spacing w:beforeLines="0"/>
        <w:jc w:val="center"/>
        <w:rPr>
          <w:rStyle w:val="95"/>
          <w:rFonts w:ascii="仿宋" w:hAnsi="仿宋" w:eastAsia="仿宋" w:cs="仿宋"/>
          <w:sz w:val="30"/>
        </w:rPr>
      </w:pPr>
      <w:bookmarkStart w:id="457" w:name="_Toc22188"/>
      <w:bookmarkStart w:id="458" w:name="_Toc15172"/>
      <w:bookmarkStart w:id="459" w:name="_Toc28631"/>
      <w:r>
        <w:rPr>
          <w:rStyle w:val="95"/>
          <w:rFonts w:hint="eastAsia" w:ascii="仿宋" w:hAnsi="仿宋" w:eastAsia="仿宋" w:cs="仿宋"/>
          <w:sz w:val="30"/>
        </w:rPr>
        <w:t>第七节 严格落实推进“十二个百分之百”防灾减灾工作</w:t>
      </w:r>
      <w:bookmarkEnd w:id="457"/>
      <w:bookmarkEnd w:id="458"/>
      <w:bookmarkEnd w:id="459"/>
    </w:p>
    <w:p>
      <w:pPr>
        <w:snapToGrid w:val="0"/>
        <w:ind w:firstLine="560"/>
        <w:rPr>
          <w:rFonts w:ascii="仿宋" w:hAnsi="仿宋" w:eastAsia="仿宋" w:cs="仿宋"/>
          <w:sz w:val="28"/>
          <w:szCs w:val="28"/>
        </w:rPr>
      </w:pPr>
      <w:r>
        <w:rPr>
          <w:rFonts w:hint="eastAsia" w:ascii="仿宋" w:hAnsi="仿宋" w:eastAsia="仿宋" w:cs="仿宋"/>
          <w:sz w:val="28"/>
          <w:szCs w:val="28"/>
        </w:rPr>
        <w:t>根据乐应急委〔2021〕1 号 “关于加强汛期自然灾害防灾减灾工作的通知”文件精神，为深入学习贯彻习近平总书记关于防灾减灾救灾工作重要指示批示精神和李克强总理等中央领导同志批示要求，全面落实中央、省委省政府和市委市政府关于防汛减灾、地质灾害防治和安全生产工作系列部署，着力防范化解汛期重大洪涝和地质灾害等自然灾害风险，五通桥区防灾减灾工作要做到以下几点：</w:t>
      </w:r>
    </w:p>
    <w:p>
      <w:pPr>
        <w:snapToGrid w:val="0"/>
        <w:ind w:firstLine="560"/>
        <w:rPr>
          <w:rFonts w:ascii="仿宋" w:hAnsi="仿宋" w:eastAsia="仿宋" w:cs="仿宋"/>
          <w:sz w:val="28"/>
          <w:szCs w:val="28"/>
        </w:rPr>
      </w:pPr>
      <w:r>
        <w:rPr>
          <w:rFonts w:hint="eastAsia" w:ascii="仿宋" w:hAnsi="仿宋" w:eastAsia="仿宋" w:cs="仿宋"/>
          <w:sz w:val="28"/>
          <w:szCs w:val="28"/>
        </w:rPr>
        <w:t>1、监测点责任人100%挂牌上墙：各镇、各有关部门要结合换届工作，务必在主汛期前及时调整完善各部门、行业等各类风险隐患点监测点责任人，及时更新到位，公开信息，确保 100%挂牌上墙，群众知晓；</w:t>
      </w:r>
    </w:p>
    <w:p>
      <w:pPr>
        <w:snapToGrid w:val="0"/>
        <w:ind w:firstLine="560"/>
        <w:rPr>
          <w:rFonts w:ascii="仿宋" w:hAnsi="仿宋" w:eastAsia="仿宋" w:cs="仿宋"/>
          <w:sz w:val="28"/>
          <w:szCs w:val="28"/>
        </w:rPr>
      </w:pPr>
      <w:r>
        <w:rPr>
          <w:rFonts w:hint="eastAsia" w:ascii="仿宋" w:hAnsi="仿宋" w:eastAsia="仿宋" w:cs="仿宋"/>
          <w:sz w:val="28"/>
          <w:szCs w:val="28"/>
        </w:rPr>
        <w:t>2、逃生路线标识100%设置到位：区防汛指挥部、地灾指挥部要根据各部门、各行业等各灾害点风险的实际情况，制定应对方案和群众疏散逃生路线，确保群众科学有序撤离。各灾害点要制作醒目的逃生线路标识，务必主汛期前100%设置到位；</w:t>
      </w:r>
    </w:p>
    <w:p>
      <w:pPr>
        <w:snapToGrid w:val="0"/>
        <w:ind w:firstLine="560"/>
        <w:rPr>
          <w:rFonts w:ascii="仿宋" w:hAnsi="仿宋" w:eastAsia="仿宋" w:cs="仿宋"/>
          <w:sz w:val="28"/>
          <w:szCs w:val="28"/>
        </w:rPr>
      </w:pPr>
      <w:r>
        <w:rPr>
          <w:rFonts w:hint="eastAsia" w:ascii="仿宋" w:hAnsi="仿宋" w:eastAsia="仿宋" w:cs="仿宋"/>
          <w:sz w:val="28"/>
          <w:szCs w:val="28"/>
        </w:rPr>
        <w:t>3、预防预告明白卡100%发放到位：各镇、各有关部门要加强防灾减灾宣传，特别是要制定简单易懂的预防预告明白卡，100%发放到每一户，切实提高老百姓的主动避险意识和抗灾自救能力；</w:t>
      </w:r>
    </w:p>
    <w:p>
      <w:pPr>
        <w:snapToGrid w:val="0"/>
        <w:ind w:firstLine="560"/>
        <w:rPr>
          <w:rFonts w:ascii="仿宋" w:hAnsi="仿宋" w:eastAsia="仿宋" w:cs="仿宋"/>
          <w:sz w:val="28"/>
          <w:szCs w:val="28"/>
        </w:rPr>
      </w:pPr>
      <w:r>
        <w:rPr>
          <w:rFonts w:hint="eastAsia" w:ascii="仿宋" w:hAnsi="仿宋" w:eastAsia="仿宋" w:cs="仿宋"/>
          <w:sz w:val="28"/>
          <w:szCs w:val="28"/>
        </w:rPr>
        <w:t>4、预警预报100%覆盖到位：区自然资源、水务、应急、气象、水文等部门要健全监测预警联动机制，重点做好重点城镇、河流、暴雨区、山洪地质灾害易发区的精细化预报，确保监测预警数据及时推送至防灾责任人和监测巡查人员，确保第一时间把预警信息通知到村、到户、到人，确保预警预报100%覆盖到位。通信行业主管部门要协调各运营商主动承担起防灾减灾社会责任，配合各部门，做到手机用户端100%发送；</w:t>
      </w:r>
    </w:p>
    <w:p>
      <w:pPr>
        <w:snapToGrid w:val="0"/>
        <w:ind w:firstLine="560"/>
        <w:rPr>
          <w:rFonts w:ascii="仿宋" w:hAnsi="仿宋" w:eastAsia="仿宋" w:cs="仿宋"/>
          <w:sz w:val="28"/>
          <w:szCs w:val="28"/>
        </w:rPr>
      </w:pPr>
      <w:r>
        <w:rPr>
          <w:rFonts w:hint="eastAsia" w:ascii="仿宋" w:hAnsi="仿宋" w:eastAsia="仿宋" w:cs="仿宋"/>
          <w:sz w:val="28"/>
          <w:szCs w:val="28"/>
        </w:rPr>
        <w:t>5、隐患排查整治100%到位：各镇、各有关部门要按照雨前排查、雨中巡查、雨后核查的要求，聚焦山洪和地质灾害偏重的地段，组织专家力量，发动基层干部群众，做到常态化、动态化拉网式100%隐患排查到位。对排查出的隐患逐一登记造册，落实监测、避让、治理措施，，确保隐患整治排险100%到位。对短期确实无法消除的隐患要落实应急度汛和防范措施，对已完成整治的要开展好“回头看”；</w:t>
      </w:r>
    </w:p>
    <w:p>
      <w:pPr>
        <w:snapToGrid w:val="0"/>
        <w:ind w:firstLine="560"/>
        <w:rPr>
          <w:rFonts w:ascii="仿宋" w:hAnsi="仿宋" w:eastAsia="仿宋" w:cs="仿宋"/>
          <w:sz w:val="28"/>
          <w:szCs w:val="28"/>
        </w:rPr>
      </w:pPr>
      <w:r>
        <w:rPr>
          <w:rFonts w:hint="eastAsia" w:ascii="仿宋" w:hAnsi="仿宋" w:eastAsia="仿宋" w:cs="仿宋"/>
          <w:sz w:val="28"/>
          <w:szCs w:val="28"/>
        </w:rPr>
        <w:t>6、地下停车场、电力设施、饮用水、油库、通讯基站等100%防范到位：各镇、各有关部门要制定地下停车场、电力设施、饮用水、油库、通讯基站等重要民生设施突发事件应对方案，建立专门处置队伍，储备充足的装备物资，做到100%防范到位，确保灾情对群众的生产生活影响最小化；</w:t>
      </w:r>
    </w:p>
    <w:p>
      <w:pPr>
        <w:snapToGrid w:val="0"/>
        <w:ind w:firstLine="560"/>
        <w:rPr>
          <w:rFonts w:ascii="仿宋" w:hAnsi="仿宋" w:eastAsia="仿宋" w:cs="仿宋"/>
          <w:sz w:val="28"/>
          <w:szCs w:val="28"/>
        </w:rPr>
      </w:pPr>
      <w:r>
        <w:rPr>
          <w:rFonts w:hint="eastAsia" w:ascii="仿宋" w:hAnsi="仿宋" w:eastAsia="仿宋" w:cs="仿宋"/>
          <w:sz w:val="28"/>
          <w:szCs w:val="28"/>
        </w:rPr>
        <w:t>7、避险演练100%开展：各镇、各有关部门积极开展以疏散逃生、应急避险为主的群众性演练，要在主汛期前开展山洪地灾隐患点、河心孤岛、水库电站、沿江沿河重点防汛区域等重点部位重点区域突发事件应对方案演练，确保避险演练100%，群众广泛参与；</w:t>
      </w:r>
    </w:p>
    <w:p>
      <w:pPr>
        <w:snapToGrid w:val="0"/>
        <w:ind w:firstLine="560"/>
        <w:rPr>
          <w:rFonts w:ascii="仿宋" w:hAnsi="仿宋" w:eastAsia="仿宋" w:cs="仿宋"/>
          <w:sz w:val="28"/>
          <w:szCs w:val="28"/>
        </w:rPr>
      </w:pPr>
      <w:r>
        <w:rPr>
          <w:rFonts w:hint="eastAsia" w:ascii="仿宋" w:hAnsi="仿宋" w:eastAsia="仿宋" w:cs="仿宋"/>
          <w:sz w:val="28"/>
          <w:szCs w:val="28"/>
        </w:rPr>
        <w:t>8、基本应急抢险救灾物资100%准备到位：各镇、各有关部门要针对汛期自然灾害抢险救援特点，加大抢险救援物资储备和摸底，确保各类抢险救援物资100%准备到位；</w:t>
      </w:r>
    </w:p>
    <w:p>
      <w:pPr>
        <w:snapToGrid w:val="0"/>
        <w:ind w:firstLine="560"/>
        <w:rPr>
          <w:rFonts w:ascii="仿宋" w:hAnsi="仿宋" w:eastAsia="仿宋" w:cs="仿宋"/>
          <w:sz w:val="28"/>
          <w:szCs w:val="28"/>
        </w:rPr>
      </w:pPr>
      <w:r>
        <w:rPr>
          <w:rFonts w:hint="eastAsia" w:ascii="仿宋" w:hAnsi="仿宋" w:eastAsia="仿宋" w:cs="仿宋"/>
          <w:sz w:val="28"/>
          <w:szCs w:val="28"/>
        </w:rPr>
        <w:t>9、基层第一时间开展应急抢险救灾的队伍100%组建到位：各镇、各有关部门抓紧组建完善基层应急抢险队伍，确保主汛期前100%组建到位；</w:t>
      </w:r>
    </w:p>
    <w:p>
      <w:pPr>
        <w:snapToGrid w:val="0"/>
        <w:ind w:firstLine="560"/>
        <w:rPr>
          <w:rFonts w:ascii="仿宋" w:hAnsi="仿宋" w:eastAsia="仿宋" w:cs="仿宋"/>
          <w:sz w:val="28"/>
          <w:szCs w:val="28"/>
        </w:rPr>
      </w:pPr>
      <w:r>
        <w:rPr>
          <w:rFonts w:hint="eastAsia" w:ascii="仿宋" w:hAnsi="仿宋" w:eastAsia="仿宋" w:cs="仿宋"/>
          <w:sz w:val="28"/>
          <w:szCs w:val="28"/>
        </w:rPr>
        <w:t>10、重点工程建设100%又好又快推进：各镇、各有关部门要抓紧推进灾后重建工程（含群众灾害房屋重建工程）、水毁河堤修复工程、山洪地灾整治工程、城市防洪排涝工程、道路交通危岩排除工程、沿江化工企业防洪工程和应急设施工程等工程建设，确保主汛期前100%的建成投入使用；未能完成影响使用的要制定突发事件应对方案，确保安全度汛；</w:t>
      </w:r>
    </w:p>
    <w:p>
      <w:pPr>
        <w:snapToGrid w:val="0"/>
        <w:ind w:firstLine="560"/>
        <w:rPr>
          <w:rFonts w:ascii="仿宋" w:hAnsi="仿宋" w:eastAsia="仿宋" w:cs="仿宋"/>
          <w:sz w:val="28"/>
          <w:szCs w:val="28"/>
        </w:rPr>
      </w:pPr>
      <w:r>
        <w:rPr>
          <w:rFonts w:hint="eastAsia" w:ascii="仿宋" w:hAnsi="仿宋" w:eastAsia="仿宋" w:cs="仿宋"/>
          <w:sz w:val="28"/>
          <w:szCs w:val="28"/>
        </w:rPr>
        <w:t>11、划片包干，自然灾害防范应对工作不落下一个单位、一个人的全方位责任体系，全面实现防灾减灾网格管理 100%覆盖；</w:t>
      </w:r>
    </w:p>
    <w:p>
      <w:pPr>
        <w:snapToGrid w:val="0"/>
        <w:ind w:firstLine="560"/>
        <w:rPr>
          <w:rFonts w:ascii="仿宋" w:hAnsi="仿宋" w:eastAsia="仿宋" w:cs="仿宋"/>
          <w:sz w:val="28"/>
          <w:szCs w:val="28"/>
        </w:rPr>
      </w:pPr>
      <w:r>
        <w:rPr>
          <w:rFonts w:hint="eastAsia" w:ascii="仿宋" w:hAnsi="仿宋" w:eastAsia="仿宋" w:cs="仿宋"/>
          <w:sz w:val="28"/>
          <w:szCs w:val="28"/>
        </w:rPr>
        <w:t>12、见人见事见物见行动的领导责任100%落实：各镇、各有关部门要按照“党政同责、一岗双责、齐抓共管、失职追责”的要求，压紧压实属地党委、政府防灾减灾主体责任、部门监管责任和防灾人员直接责任，见人见事见物见行动的领导责任落实要100%，各级要建立责任包干台账，责任包干要深入落实到村（社区）一级。</w:t>
      </w:r>
      <w:bookmarkEnd w:id="453"/>
      <w:bookmarkEnd w:id="454"/>
    </w:p>
    <w:p>
      <w:pPr>
        <w:pStyle w:val="5"/>
        <w:snapToGrid w:val="0"/>
        <w:spacing w:beforeLines="0"/>
        <w:jc w:val="center"/>
        <w:rPr>
          <w:rStyle w:val="95"/>
          <w:rFonts w:ascii="仿宋" w:hAnsi="仿宋" w:eastAsia="仿宋" w:cs="仿宋"/>
          <w:sz w:val="30"/>
        </w:rPr>
      </w:pPr>
      <w:bookmarkStart w:id="460" w:name="_Toc4957"/>
      <w:bookmarkStart w:id="461" w:name="_Toc25622"/>
      <w:bookmarkStart w:id="462" w:name="_Toc17778"/>
      <w:r>
        <w:rPr>
          <w:rStyle w:val="95"/>
          <w:rFonts w:hint="eastAsia" w:ascii="仿宋" w:hAnsi="仿宋" w:eastAsia="仿宋" w:cs="仿宋"/>
          <w:sz w:val="30"/>
        </w:rPr>
        <w:t>第八节 防治规划的实施效果及地质灾害发展趋势预测</w:t>
      </w:r>
      <w:bookmarkEnd w:id="460"/>
      <w:bookmarkEnd w:id="461"/>
      <w:bookmarkEnd w:id="462"/>
    </w:p>
    <w:p>
      <w:pPr>
        <w:snapToGrid w:val="0"/>
        <w:ind w:firstLine="560"/>
        <w:rPr>
          <w:rFonts w:ascii="仿宋" w:hAnsi="仿宋" w:eastAsia="仿宋" w:cs="仿宋"/>
          <w:sz w:val="28"/>
          <w:szCs w:val="28"/>
        </w:rPr>
      </w:pPr>
      <w:r>
        <w:rPr>
          <w:rFonts w:hint="eastAsia" w:ascii="仿宋" w:hAnsi="仿宋" w:eastAsia="仿宋" w:cs="仿宋"/>
          <w:sz w:val="28"/>
          <w:szCs w:val="28"/>
        </w:rPr>
        <w:t>地质灾害在上世纪九十年代以前，大多被称为外动力地质作用，其本身是地球物质的搬运转移的一个自然现象，这种自然地质作用影响人类的生产和生活，而人类自身的不合理工程活动导致或加剧的这种搬运作用对人类本身造成了威胁和危害则成为地质灾害。</w:t>
      </w:r>
    </w:p>
    <w:p>
      <w:pPr>
        <w:snapToGrid w:val="0"/>
        <w:ind w:firstLine="560"/>
        <w:rPr>
          <w:rFonts w:ascii="仿宋" w:hAnsi="仿宋" w:eastAsia="仿宋" w:cs="仿宋"/>
          <w:sz w:val="28"/>
          <w:szCs w:val="28"/>
        </w:rPr>
      </w:pPr>
      <w:r>
        <w:rPr>
          <w:rFonts w:hint="eastAsia" w:ascii="仿宋" w:hAnsi="仿宋" w:eastAsia="仿宋" w:cs="仿宋"/>
          <w:sz w:val="28"/>
          <w:szCs w:val="28"/>
        </w:rPr>
        <w:t>滑坡、崩塌、泥石流等流水和重力搬运作用本身是一种自然现象，在生态植被完好的时候，这种作用是很缓慢的。在人口稀少和经济不发达的时候，这种自然作用表现出对人类的危害或者灾害是不明显的。上世纪50～90年带初中国的工业化和高速发展的经济，忽视了生态环境的保护，极大地加剧并诱发了很多滑坡等自然地质作用，并形成灾害。近年国家和省市区各级对生态环境保护力度加强，人民群众的环境保护、灾害防范意识提高，对地质灾害的科学研究水平达到新的高度，对社会防范地质灾害的整体能力有了很大的提升。五通桥区整体地质灾害的防范也将随之提高。</w:t>
      </w:r>
    </w:p>
    <w:p>
      <w:pPr>
        <w:snapToGrid w:val="0"/>
        <w:ind w:firstLine="560"/>
        <w:rPr>
          <w:rFonts w:ascii="仿宋" w:hAnsi="仿宋" w:eastAsia="仿宋" w:cs="仿宋"/>
          <w:sz w:val="28"/>
          <w:szCs w:val="28"/>
        </w:rPr>
      </w:pPr>
      <w:r>
        <w:rPr>
          <w:rFonts w:hint="eastAsia" w:ascii="仿宋" w:hAnsi="仿宋" w:eastAsia="仿宋" w:cs="仿宋"/>
          <w:sz w:val="28"/>
          <w:szCs w:val="28"/>
        </w:rPr>
        <w:t>五通桥区在近几年内实施避险搬迁工程，虽然还会出现一批新的灾害点，但是总体地质灾害的危害将减少，对完全实施搬迁的灾害点，根据实际情况减少一批灾害隐患点的监测预警。而对规模大，涉及人口农户多的灾害点在一个较强的时段还要监测和进行群测群防。</w:t>
      </w:r>
    </w:p>
    <w:p>
      <w:pPr>
        <w:snapToGrid w:val="0"/>
        <w:ind w:firstLine="560"/>
        <w:rPr>
          <w:rFonts w:ascii="仿宋" w:hAnsi="仿宋" w:eastAsia="仿宋" w:cs="仿宋"/>
          <w:sz w:val="28"/>
          <w:szCs w:val="28"/>
        </w:rPr>
      </w:pPr>
      <w:r>
        <w:rPr>
          <w:rFonts w:hint="eastAsia" w:ascii="仿宋" w:hAnsi="仿宋" w:eastAsia="仿宋" w:cs="仿宋"/>
          <w:sz w:val="28"/>
          <w:szCs w:val="28"/>
        </w:rPr>
        <w:t>五通桥区本次调查确认的灾害点55个，大部分灾害点现状是不稳定的，灾害点发展趋势为不稳定。通过实施避让避险，将减少一批灾害点，在一个很长的时期需要加强群测群防监测预警网络的建设，才能在灾害发生时，将生命财产的损失减少到最低。</w:t>
      </w:r>
    </w:p>
    <w:p>
      <w:pPr>
        <w:snapToGrid w:val="0"/>
        <w:ind w:firstLine="560"/>
        <w:rPr>
          <w:rFonts w:ascii="仿宋" w:hAnsi="仿宋" w:eastAsia="仿宋" w:cs="仿宋"/>
          <w:sz w:val="28"/>
          <w:szCs w:val="28"/>
        </w:rPr>
      </w:pPr>
      <w:r>
        <w:rPr>
          <w:rFonts w:hint="eastAsia" w:ascii="仿宋" w:hAnsi="仿宋" w:eastAsia="仿宋" w:cs="仿宋"/>
          <w:sz w:val="28"/>
          <w:szCs w:val="28"/>
        </w:rPr>
        <w:t>五通桥区依据地质灾害防治规划，通过实施避险搬迁工程，并分批治理一部分灾害隐患点。使防治工作由过去的被动防治，转为主动防治；由事后防治，转为事前防治；从避让、搬迁到工程防治。由单一工程治理，变为综合工程治理。由局部治理转为流域治理，最终形成全区生态环境综合治理。防治监测工作由单一点，形成线，最终形成网。防治工作体系形成由市、区、镇、村（社区）形成一条线，最终形成市、区、镇、村（社区）防治工作辐射网。由专业队伍防灾，变为全民防灾。防灾管理由人为管理逐步转向信息化自动化管理。从减少人员伤亡和经济财产损失上预测，防治地质灾害的效果应该是明显的。</w:t>
      </w:r>
      <w:bookmarkStart w:id="463" w:name="_Toc327438294"/>
      <w:bookmarkStart w:id="464" w:name="_Toc327438392"/>
      <w:bookmarkStart w:id="465" w:name="_Toc330300962"/>
      <w:bookmarkStart w:id="466" w:name="_Toc322436220"/>
      <w:bookmarkStart w:id="467" w:name="_Toc322436877"/>
    </w:p>
    <w:p>
      <w:pPr>
        <w:pStyle w:val="5"/>
        <w:snapToGrid w:val="0"/>
        <w:spacing w:beforeLines="0"/>
        <w:jc w:val="center"/>
        <w:rPr>
          <w:rStyle w:val="95"/>
          <w:rFonts w:ascii="仿宋" w:hAnsi="仿宋" w:eastAsia="仿宋" w:cs="仿宋"/>
          <w:sz w:val="30"/>
        </w:rPr>
      </w:pPr>
      <w:bookmarkStart w:id="468" w:name="_Toc26773"/>
      <w:bookmarkStart w:id="469" w:name="_Toc16989"/>
      <w:bookmarkStart w:id="470" w:name="_Toc22761"/>
      <w:r>
        <w:rPr>
          <w:rStyle w:val="95"/>
          <w:rFonts w:hint="eastAsia" w:ascii="仿宋" w:hAnsi="仿宋" w:eastAsia="仿宋" w:cs="仿宋"/>
          <w:sz w:val="30"/>
        </w:rPr>
        <w:t>第九节 重大工程</w:t>
      </w:r>
      <w:bookmarkEnd w:id="468"/>
      <w:bookmarkEnd w:id="469"/>
      <w:bookmarkEnd w:id="470"/>
    </w:p>
    <w:p>
      <w:pPr>
        <w:pStyle w:val="6"/>
        <w:snapToGrid w:val="0"/>
        <w:spacing w:beforeLines="0" w:afterLines="0"/>
        <w:ind w:firstLine="562" w:firstLineChars="200"/>
        <w:rPr>
          <w:rFonts w:cs="仿宋"/>
          <w:szCs w:val="28"/>
        </w:rPr>
      </w:pPr>
      <w:bookmarkStart w:id="471" w:name="_Toc16495"/>
      <w:bookmarkStart w:id="472" w:name="_Toc8834"/>
      <w:r>
        <w:rPr>
          <w:rFonts w:hint="eastAsia" w:cs="仿宋"/>
          <w:szCs w:val="28"/>
        </w:rPr>
        <w:t>一、 地质灾害风险调查评价工程</w:t>
      </w:r>
      <w:bookmarkEnd w:id="471"/>
      <w:bookmarkEnd w:id="472"/>
    </w:p>
    <w:p>
      <w:pPr>
        <w:snapToGrid w:val="0"/>
        <w:ind w:firstLine="560"/>
        <w:rPr>
          <w:rFonts w:ascii="仿宋" w:hAnsi="仿宋" w:eastAsia="仿宋" w:cs="仿宋"/>
          <w:sz w:val="28"/>
          <w:szCs w:val="28"/>
        </w:rPr>
      </w:pPr>
      <w:r>
        <w:rPr>
          <w:rFonts w:hint="eastAsia" w:ascii="仿宋" w:hAnsi="仿宋" w:eastAsia="仿宋" w:cs="仿宋"/>
          <w:sz w:val="28"/>
          <w:szCs w:val="28"/>
        </w:rPr>
        <w:t>1、风险调查评价的目标任务</w:t>
      </w:r>
    </w:p>
    <w:p>
      <w:pPr>
        <w:snapToGrid w:val="0"/>
        <w:ind w:firstLine="560"/>
        <w:rPr>
          <w:rFonts w:ascii="仿宋" w:hAnsi="仿宋" w:eastAsia="仿宋" w:cs="仿宋"/>
          <w:sz w:val="28"/>
          <w:szCs w:val="28"/>
        </w:rPr>
      </w:pPr>
      <w:r>
        <w:rPr>
          <w:rFonts w:hint="eastAsia" w:ascii="仿宋" w:hAnsi="仿宋" w:eastAsia="仿宋" w:cs="仿宋"/>
          <w:sz w:val="28"/>
          <w:szCs w:val="28"/>
        </w:rPr>
        <w:t>（1）、开展地质灾害与孕灾地质条件、承灾体调查，判识地质灾害隐患，总结调查区地质灾害发育分布规律，分析地质灾害成灾模式。</w:t>
      </w:r>
    </w:p>
    <w:p>
      <w:pPr>
        <w:snapToGrid w:val="0"/>
        <w:ind w:firstLine="560"/>
        <w:rPr>
          <w:rFonts w:ascii="仿宋" w:hAnsi="仿宋" w:eastAsia="仿宋" w:cs="仿宋"/>
          <w:sz w:val="28"/>
          <w:szCs w:val="28"/>
        </w:rPr>
      </w:pPr>
      <w:r>
        <w:rPr>
          <w:rFonts w:hint="eastAsia" w:ascii="仿宋" w:hAnsi="仿宋" w:eastAsia="仿宋" w:cs="仿宋"/>
          <w:sz w:val="28"/>
          <w:szCs w:val="28"/>
        </w:rPr>
        <w:t>（2）、开展地质灾害易发性、危险性、易损性和风险评价，编制地质灾害风险评价相关图件，掌握调查区风险隐患底数。</w:t>
      </w:r>
    </w:p>
    <w:p>
      <w:pPr>
        <w:snapToGrid w:val="0"/>
        <w:ind w:firstLine="560"/>
        <w:rPr>
          <w:rFonts w:ascii="仿宋" w:hAnsi="仿宋" w:eastAsia="仿宋" w:cs="仿宋"/>
          <w:sz w:val="28"/>
          <w:szCs w:val="28"/>
        </w:rPr>
      </w:pPr>
      <w:r>
        <w:rPr>
          <w:rFonts w:hint="eastAsia" w:ascii="仿宋" w:hAnsi="仿宋" w:eastAsia="仿宋" w:cs="仿宋"/>
          <w:sz w:val="28"/>
          <w:szCs w:val="28"/>
        </w:rPr>
        <w:t>（3）、建立地质灾害调查空间数据库。</w:t>
      </w:r>
    </w:p>
    <w:p>
      <w:pPr>
        <w:snapToGrid w:val="0"/>
        <w:ind w:firstLine="560"/>
        <w:rPr>
          <w:rFonts w:ascii="仿宋" w:hAnsi="仿宋" w:eastAsia="仿宋" w:cs="仿宋"/>
          <w:sz w:val="28"/>
          <w:szCs w:val="28"/>
        </w:rPr>
      </w:pPr>
      <w:r>
        <w:rPr>
          <w:rFonts w:hint="eastAsia" w:ascii="仿宋" w:hAnsi="仿宋" w:eastAsia="仿宋" w:cs="仿宋"/>
          <w:sz w:val="28"/>
          <w:szCs w:val="28"/>
        </w:rPr>
        <w:t>（4）、提出地质灾害风险管控对策建议，为防灾减灾管理、国土空间规划和用途管制等提供基础依据。</w:t>
      </w:r>
    </w:p>
    <w:p>
      <w:pPr>
        <w:snapToGrid w:val="0"/>
        <w:ind w:firstLine="560"/>
        <w:rPr>
          <w:rFonts w:ascii="仿宋" w:hAnsi="仿宋" w:eastAsia="仿宋" w:cs="仿宋"/>
          <w:sz w:val="28"/>
          <w:szCs w:val="28"/>
        </w:rPr>
      </w:pPr>
      <w:r>
        <w:rPr>
          <w:rFonts w:hint="eastAsia" w:ascii="仿宋" w:hAnsi="仿宋" w:eastAsia="仿宋" w:cs="仿宋"/>
          <w:sz w:val="28"/>
          <w:szCs w:val="28"/>
        </w:rPr>
        <w:t>2、风险调查评价的具体工作内容</w:t>
      </w:r>
    </w:p>
    <w:p>
      <w:pPr>
        <w:snapToGrid w:val="0"/>
        <w:ind w:firstLine="560"/>
        <w:rPr>
          <w:rFonts w:ascii="仿宋" w:hAnsi="仿宋" w:eastAsia="仿宋" w:cs="仿宋"/>
          <w:sz w:val="28"/>
          <w:szCs w:val="28"/>
        </w:rPr>
      </w:pPr>
      <w:r>
        <w:rPr>
          <w:rFonts w:hint="eastAsia" w:ascii="仿宋" w:hAnsi="仿宋" w:eastAsia="仿宋" w:cs="仿宋"/>
          <w:sz w:val="28"/>
          <w:szCs w:val="28"/>
        </w:rPr>
        <w:t>（1）、充分收集、利用工作区已有的气象、水文、区域地质、水文地质、工程地质、环境地质、地质灾害、植被、工程勘查及社会经济发展规划等方面资料。</w:t>
      </w:r>
    </w:p>
    <w:p>
      <w:pPr>
        <w:snapToGrid w:val="0"/>
        <w:ind w:firstLine="560"/>
        <w:rPr>
          <w:rFonts w:ascii="仿宋" w:hAnsi="仿宋" w:eastAsia="仿宋" w:cs="仿宋"/>
          <w:sz w:val="28"/>
          <w:szCs w:val="28"/>
        </w:rPr>
      </w:pPr>
      <w:r>
        <w:rPr>
          <w:rFonts w:hint="eastAsia" w:ascii="仿宋" w:hAnsi="仿宋" w:eastAsia="仿宋" w:cs="仿宋"/>
          <w:sz w:val="28"/>
          <w:szCs w:val="28"/>
        </w:rPr>
        <w:t>（2）、在分析研究现有资料的基础上，采用遥感调查、地面测绘、钻探、物探、山地工程及岩土测试等手段开展地质环境条件和地质灾害调查。</w:t>
      </w:r>
    </w:p>
    <w:p>
      <w:pPr>
        <w:snapToGrid w:val="0"/>
        <w:ind w:firstLine="560"/>
        <w:rPr>
          <w:rFonts w:ascii="仿宋" w:hAnsi="仿宋" w:eastAsia="仿宋" w:cs="仿宋"/>
          <w:sz w:val="28"/>
          <w:szCs w:val="28"/>
        </w:rPr>
      </w:pPr>
      <w:r>
        <w:rPr>
          <w:rFonts w:hint="eastAsia" w:ascii="仿宋" w:hAnsi="仿宋" w:eastAsia="仿宋" w:cs="仿宋"/>
          <w:sz w:val="28"/>
          <w:szCs w:val="28"/>
        </w:rPr>
        <w:t>（3）、开展地质灾害调查，调查分析以滑坡、崩塌、泥石流、地面塌陷为主的地质灾害发生的岩土体结构条件，阐明其发育、分布规律及形成机理，评价和预测其发展趋势，进行环境工程地质条件分区。</w:t>
      </w:r>
    </w:p>
    <w:p>
      <w:pPr>
        <w:snapToGrid w:val="0"/>
        <w:ind w:firstLine="560"/>
        <w:rPr>
          <w:rFonts w:ascii="仿宋" w:hAnsi="仿宋" w:eastAsia="仿宋" w:cs="仿宋"/>
          <w:sz w:val="28"/>
          <w:szCs w:val="28"/>
        </w:rPr>
      </w:pPr>
      <w:r>
        <w:rPr>
          <w:rFonts w:hint="eastAsia" w:ascii="仿宋" w:hAnsi="仿宋" w:eastAsia="仿宋" w:cs="仿宋"/>
          <w:sz w:val="28"/>
          <w:szCs w:val="28"/>
        </w:rPr>
        <w:t>（4）、对现有地质灾害隐患点进行复查复核，及时更新隐患点基本情况数据库；对新增地质灾害隐患点进行调查评价，查清其分布范围、规模、结构特征、影响条件及诱发因素等，并对易发性和危险性进行评估；对已完工或在建地质灾害治理工程现场进行复核评价。</w:t>
      </w:r>
    </w:p>
    <w:p>
      <w:pPr>
        <w:snapToGrid w:val="0"/>
        <w:ind w:firstLine="560"/>
        <w:rPr>
          <w:rFonts w:ascii="仿宋" w:hAnsi="仿宋" w:eastAsia="仿宋" w:cs="仿宋"/>
          <w:sz w:val="28"/>
          <w:szCs w:val="28"/>
        </w:rPr>
      </w:pPr>
      <w:r>
        <w:rPr>
          <w:rFonts w:hint="eastAsia" w:ascii="仿宋" w:hAnsi="仿宋" w:eastAsia="仿宋" w:cs="仿宋"/>
          <w:sz w:val="28"/>
          <w:szCs w:val="28"/>
        </w:rPr>
        <w:t>（5）、对城市、村镇、厂矿、重要交通设施、河流、重要风景名胜区和重点文物保护点等潜在的滑坡、崩塌、泥石流等地质灾害隐患点进行调查，并对其危险性和危害性进行评价。选择单体重大地质灾害隐患点进行地质灾害测绘和勘查。</w:t>
      </w:r>
    </w:p>
    <w:p>
      <w:pPr>
        <w:snapToGrid w:val="0"/>
        <w:ind w:firstLine="560"/>
        <w:rPr>
          <w:rFonts w:ascii="仿宋" w:hAnsi="仿宋" w:eastAsia="仿宋" w:cs="仿宋"/>
          <w:sz w:val="28"/>
          <w:szCs w:val="28"/>
        </w:rPr>
      </w:pPr>
      <w:r>
        <w:rPr>
          <w:rFonts w:hint="eastAsia" w:ascii="仿宋" w:hAnsi="仿宋" w:eastAsia="仿宋" w:cs="仿宋"/>
          <w:sz w:val="28"/>
          <w:szCs w:val="28"/>
        </w:rPr>
        <w:t>（6）、查清全区地质灾害的现状、发展趋势、分布范围和特征及其形成的地质环境条件，对重点调查区开展遥感调查，对重大地质灾害隐患点开展大比例地面测绘，辅以必要的钻探、物探和山地工程，对区域性地质灾害的发育分布规律进行综合分析研究。</w:t>
      </w:r>
    </w:p>
    <w:p>
      <w:pPr>
        <w:snapToGrid w:val="0"/>
        <w:ind w:firstLine="560"/>
        <w:rPr>
          <w:rFonts w:ascii="仿宋" w:hAnsi="仿宋" w:eastAsia="仿宋" w:cs="仿宋"/>
          <w:sz w:val="28"/>
          <w:szCs w:val="28"/>
        </w:rPr>
      </w:pPr>
      <w:r>
        <w:rPr>
          <w:rFonts w:hint="eastAsia" w:ascii="仿宋" w:hAnsi="仿宋" w:eastAsia="仿宋" w:cs="仿宋"/>
          <w:sz w:val="28"/>
          <w:szCs w:val="28"/>
        </w:rPr>
        <w:t>（7）、通过叠加地质灾害危险性、易损性、承灾体数量和价值，计算分析评价单元的风险等级，并对分区结果的有效性和局限性进行评述。对地质灾害风险等级按极高风险区、高风险区、中风险区、低风险区4个级别进行分区。</w:t>
      </w:r>
    </w:p>
    <w:p>
      <w:pPr>
        <w:snapToGrid w:val="0"/>
        <w:ind w:firstLine="560"/>
        <w:rPr>
          <w:rFonts w:ascii="仿宋" w:hAnsi="仿宋" w:eastAsia="仿宋" w:cs="仿宋"/>
          <w:sz w:val="28"/>
          <w:szCs w:val="28"/>
        </w:rPr>
      </w:pPr>
      <w:r>
        <w:rPr>
          <w:rFonts w:hint="eastAsia" w:ascii="仿宋" w:hAnsi="仿宋" w:eastAsia="仿宋" w:cs="仿宋"/>
          <w:sz w:val="28"/>
          <w:szCs w:val="28"/>
        </w:rPr>
        <w:t>（8）、协助五通桥区政府完善地质灾害群专结合的监测网络，编制重要地质灾害隐患点防灾预案，提出地质灾害群测群防监测预警方案，填制并发放防灾、避险明白卡。</w:t>
      </w:r>
    </w:p>
    <w:p>
      <w:pPr>
        <w:snapToGrid w:val="0"/>
        <w:ind w:firstLine="560"/>
        <w:rPr>
          <w:rFonts w:ascii="仿宋" w:hAnsi="仿宋" w:eastAsia="仿宋" w:cs="仿宋"/>
          <w:sz w:val="28"/>
          <w:szCs w:val="28"/>
        </w:rPr>
      </w:pPr>
      <w:r>
        <w:rPr>
          <w:rFonts w:hint="eastAsia" w:ascii="仿宋" w:hAnsi="仿宋" w:eastAsia="仿宋" w:cs="仿宋"/>
          <w:sz w:val="28"/>
          <w:szCs w:val="28"/>
        </w:rPr>
        <w:t>（9）、提出地质灾害综合防治措施及科学防灾规划建议。</w:t>
      </w:r>
    </w:p>
    <w:p>
      <w:pPr>
        <w:snapToGrid w:val="0"/>
        <w:ind w:firstLine="560"/>
        <w:rPr>
          <w:rFonts w:ascii="仿宋" w:hAnsi="仿宋" w:eastAsia="仿宋" w:cs="仿宋"/>
          <w:sz w:val="28"/>
          <w:szCs w:val="28"/>
        </w:rPr>
      </w:pPr>
      <w:r>
        <w:rPr>
          <w:rFonts w:hint="eastAsia" w:ascii="仿宋" w:hAnsi="仿宋" w:eastAsia="仿宋" w:cs="仿宋"/>
          <w:sz w:val="28"/>
          <w:szCs w:val="28"/>
        </w:rPr>
        <w:t>（10）、协助五通桥区政府完善地质灾害群专结合的监测网络，编制重要地质灾害隐患点防灾预案。</w:t>
      </w:r>
    </w:p>
    <w:p>
      <w:pPr>
        <w:snapToGrid w:val="0"/>
        <w:ind w:firstLine="560"/>
        <w:rPr>
          <w:rFonts w:ascii="仿宋" w:hAnsi="仿宋" w:eastAsia="仿宋" w:cs="仿宋"/>
          <w:sz w:val="28"/>
          <w:szCs w:val="28"/>
        </w:rPr>
      </w:pPr>
      <w:r>
        <w:rPr>
          <w:rFonts w:hint="eastAsia" w:ascii="仿宋" w:hAnsi="仿宋" w:eastAsia="仿宋" w:cs="仿宋"/>
          <w:sz w:val="28"/>
          <w:szCs w:val="28"/>
        </w:rPr>
        <w:t>（11）、建立地质灾害调查数据库与信息系统。</w:t>
      </w:r>
    </w:p>
    <w:p>
      <w:pPr>
        <w:snapToGrid w:val="0"/>
        <w:ind w:firstLine="560"/>
        <w:rPr>
          <w:rFonts w:ascii="仿宋" w:hAnsi="仿宋" w:eastAsia="仿宋" w:cs="仿宋"/>
          <w:sz w:val="28"/>
          <w:szCs w:val="28"/>
        </w:rPr>
      </w:pPr>
      <w:r>
        <w:rPr>
          <w:rFonts w:hint="eastAsia" w:ascii="仿宋" w:hAnsi="仿宋" w:eastAsia="仿宋" w:cs="仿宋"/>
          <w:sz w:val="28"/>
          <w:szCs w:val="28"/>
        </w:rPr>
        <w:t>（12）、提出地质灾害风险管控建议，为防灾减灾管理、国土空间规划和用途管制等提供基础依据。</w:t>
      </w:r>
    </w:p>
    <w:p>
      <w:pPr>
        <w:snapToGrid w:val="0"/>
        <w:ind w:firstLine="560"/>
        <w:rPr>
          <w:rFonts w:ascii="仿宋" w:hAnsi="仿宋" w:eastAsia="仿宋" w:cs="仿宋"/>
          <w:sz w:val="28"/>
          <w:szCs w:val="28"/>
        </w:rPr>
      </w:pPr>
      <w:r>
        <w:rPr>
          <w:rFonts w:hint="eastAsia" w:ascii="仿宋" w:hAnsi="仿宋" w:eastAsia="仿宋" w:cs="仿宋"/>
          <w:sz w:val="28"/>
          <w:szCs w:val="28"/>
        </w:rPr>
        <w:t>3、重点区域调查、评价</w:t>
      </w:r>
    </w:p>
    <w:p>
      <w:pPr>
        <w:snapToGrid w:val="0"/>
        <w:ind w:firstLine="560"/>
        <w:rPr>
          <w:rFonts w:ascii="仿宋" w:hAnsi="仿宋" w:eastAsia="仿宋" w:cs="仿宋"/>
          <w:sz w:val="28"/>
          <w:szCs w:val="28"/>
        </w:rPr>
      </w:pPr>
      <w:r>
        <w:rPr>
          <w:rFonts w:hint="eastAsia" w:ascii="仿宋" w:hAnsi="仿宋" w:eastAsia="仿宋" w:cs="仿宋"/>
          <w:sz w:val="28"/>
          <w:szCs w:val="28"/>
        </w:rPr>
        <w:t>依照《地质灾害防治条例》的要求，本着“以人为本”、“以防为主”和“经济实效”的地质灾害防治原则，结合全区地质灾害易发性分区和防治分区规划结果，按威胁城镇，学校，医院，集市和村组，部队警民等人口密集区、饮用水源地、隐蔽性强，地质条件复杂的区域、重要基础工程设施区、重要经济区、风景名胜区、重要农业区等受地质灾害隐患点威胁的区域作为全区重点防治区域。</w:t>
      </w:r>
    </w:p>
    <w:p>
      <w:pPr>
        <w:snapToGrid w:val="0"/>
        <w:ind w:firstLine="560"/>
        <w:rPr>
          <w:rFonts w:ascii="仿宋" w:hAnsi="仿宋" w:eastAsia="仿宋" w:cs="仿宋"/>
          <w:sz w:val="28"/>
          <w:szCs w:val="28"/>
        </w:rPr>
      </w:pPr>
      <w:r>
        <w:rPr>
          <w:rFonts w:hint="eastAsia" w:ascii="仿宋" w:hAnsi="仿宋" w:eastAsia="仿宋" w:cs="仿宋"/>
          <w:sz w:val="28"/>
          <w:szCs w:val="28"/>
        </w:rPr>
        <w:t>分期对区域内的现有地质灾害隐患点和规划期内可能出现的地质灾害隐患点开展地质灾害专项调查评价工作，工作精度1:2000～1:100000，调查和评价工作应交由具备自然资源部颁发的地质灾害勘查、治理、评估资质等级的单位完成。</w:t>
      </w:r>
    </w:p>
    <w:p>
      <w:pPr>
        <w:snapToGrid w:val="0"/>
        <w:ind w:firstLine="560"/>
        <w:rPr>
          <w:rFonts w:ascii="仿宋" w:hAnsi="仿宋" w:eastAsia="仿宋" w:cs="仿宋"/>
          <w:sz w:val="28"/>
          <w:szCs w:val="28"/>
        </w:rPr>
      </w:pPr>
      <w:bookmarkStart w:id="473" w:name="_Toc350754485"/>
      <w:bookmarkStart w:id="474" w:name="_Toc322436844"/>
      <w:bookmarkStart w:id="475" w:name="_Toc327438274"/>
      <w:bookmarkStart w:id="476" w:name="_Toc322436200"/>
      <w:bookmarkStart w:id="477" w:name="_Toc330300930"/>
      <w:bookmarkStart w:id="478" w:name="_Toc327438359"/>
      <w:r>
        <w:rPr>
          <w:rFonts w:hint="eastAsia" w:ascii="仿宋" w:hAnsi="仿宋" w:eastAsia="仿宋" w:cs="仿宋"/>
          <w:sz w:val="28"/>
          <w:szCs w:val="28"/>
        </w:rPr>
        <w:t>（四）地质灾害隐患排查</w:t>
      </w:r>
      <w:bookmarkEnd w:id="473"/>
      <w:bookmarkEnd w:id="474"/>
      <w:bookmarkEnd w:id="475"/>
      <w:bookmarkEnd w:id="476"/>
      <w:bookmarkEnd w:id="477"/>
      <w:bookmarkEnd w:id="478"/>
    </w:p>
    <w:p>
      <w:pPr>
        <w:snapToGrid w:val="0"/>
        <w:ind w:firstLine="560"/>
        <w:rPr>
          <w:rFonts w:ascii="仿宋" w:hAnsi="仿宋" w:eastAsia="仿宋" w:cs="仿宋"/>
          <w:sz w:val="28"/>
          <w:szCs w:val="28"/>
        </w:rPr>
      </w:pPr>
      <w:r>
        <w:rPr>
          <w:rFonts w:hint="eastAsia" w:ascii="仿宋" w:hAnsi="仿宋" w:eastAsia="仿宋" w:cs="仿宋"/>
          <w:sz w:val="28"/>
          <w:szCs w:val="28"/>
        </w:rPr>
        <w:t>由于地质灾害具有动态性，要求每年均对区内地质灾害隐患进行排查，对全区现存的55个地质灾害隐患点和规划期内新增的隐患点的变形特征发展趋势及危害对象逐一排查，核实地质灾害隐患点的增减情况及原因，并做相应的防治措施调整。</w:t>
      </w:r>
    </w:p>
    <w:p>
      <w:pPr>
        <w:snapToGrid w:val="0"/>
        <w:ind w:firstLine="560"/>
        <w:rPr>
          <w:rFonts w:ascii="仿宋" w:hAnsi="仿宋" w:eastAsia="仿宋" w:cs="仿宋"/>
          <w:sz w:val="28"/>
          <w:szCs w:val="28"/>
        </w:rPr>
      </w:pPr>
      <w:r>
        <w:rPr>
          <w:rFonts w:hint="eastAsia" w:ascii="仿宋" w:hAnsi="仿宋" w:eastAsia="仿宋" w:cs="仿宋"/>
          <w:sz w:val="28"/>
          <w:szCs w:val="28"/>
        </w:rPr>
        <w:t>五通桥区自然资源部门要建立健全年度地质灾害隐患排查制度，组织对本地地质灾害隐患点开展经常性巡回检查以及对突发地质灾害点的应急调查。年度排查要采取汛前排查、汛中检查与汛后核查相结合的方式，重点突出主汛期、强降雨期以及重点防治区。对威胁县城、集镇、学校、医院、村庄、集市、企事业单位等人员密集场所的重大隐患点，要安排专人盯守巡查。</w:t>
      </w:r>
    </w:p>
    <w:p>
      <w:pPr>
        <w:pStyle w:val="6"/>
        <w:snapToGrid w:val="0"/>
        <w:spacing w:beforeLines="0" w:afterLines="0"/>
        <w:ind w:firstLine="562" w:firstLineChars="200"/>
        <w:rPr>
          <w:rFonts w:cs="仿宋"/>
          <w:szCs w:val="28"/>
        </w:rPr>
      </w:pPr>
      <w:bookmarkStart w:id="479" w:name="_Toc20250"/>
      <w:bookmarkStart w:id="480" w:name="_Toc7471"/>
      <w:r>
        <w:rPr>
          <w:rFonts w:hint="eastAsia" w:cs="仿宋"/>
          <w:szCs w:val="28"/>
        </w:rPr>
        <w:t>二、 地质灾害风险管控工程</w:t>
      </w:r>
      <w:bookmarkEnd w:id="479"/>
      <w:bookmarkEnd w:id="480"/>
    </w:p>
    <w:p>
      <w:pPr>
        <w:snapToGrid w:val="0"/>
        <w:ind w:firstLine="560"/>
        <w:rPr>
          <w:rFonts w:ascii="仿宋" w:hAnsi="仿宋" w:eastAsia="仿宋" w:cs="仿宋"/>
          <w:sz w:val="28"/>
          <w:szCs w:val="28"/>
        </w:rPr>
      </w:pPr>
      <w:bookmarkStart w:id="481" w:name="_Toc4841"/>
      <w:r>
        <w:rPr>
          <w:rFonts w:hint="eastAsia" w:ascii="仿宋" w:hAnsi="仿宋" w:eastAsia="仿宋" w:cs="仿宋"/>
          <w:sz w:val="28"/>
          <w:szCs w:val="28"/>
        </w:rPr>
        <w:t>（一）地质灾害风险管控试点及推广</w:t>
      </w:r>
      <w:bookmarkEnd w:id="481"/>
    </w:p>
    <w:p>
      <w:pPr>
        <w:snapToGrid w:val="0"/>
        <w:ind w:firstLine="560"/>
        <w:rPr>
          <w:rFonts w:ascii="仿宋" w:hAnsi="仿宋" w:eastAsia="仿宋" w:cs="仿宋"/>
          <w:sz w:val="28"/>
          <w:szCs w:val="28"/>
        </w:rPr>
      </w:pPr>
      <w:r>
        <w:rPr>
          <w:rFonts w:hint="eastAsia" w:ascii="仿宋" w:hAnsi="仿宋" w:eastAsia="仿宋" w:cs="仿宋"/>
          <w:sz w:val="28"/>
          <w:szCs w:val="28"/>
        </w:rPr>
        <w:t>根据地质灾害风险调查评价报告，对于划分的高风险区、极高风险区，应纳入管控体系。对于各级风险区，应努力推进动态管控地灾风险，促使五通桥区地质灾害防控方式由“隐患点防控”向“风险源头管控”。</w:t>
      </w:r>
    </w:p>
    <w:p>
      <w:pPr>
        <w:snapToGrid w:val="0"/>
        <w:ind w:firstLine="560"/>
        <w:rPr>
          <w:rFonts w:ascii="仿宋" w:hAnsi="仿宋" w:eastAsia="仿宋" w:cs="仿宋"/>
          <w:sz w:val="28"/>
          <w:szCs w:val="28"/>
        </w:rPr>
      </w:pPr>
      <w:r>
        <w:rPr>
          <w:rFonts w:hint="eastAsia" w:ascii="仿宋" w:hAnsi="仿宋" w:eastAsia="仿宋" w:cs="仿宋"/>
          <w:sz w:val="28"/>
          <w:szCs w:val="28"/>
        </w:rPr>
        <w:t>探索并推广地质灾害隐患点“专职监测员”与地质灾害风险区“网格员”双控管理体系，有序拓展地质灾害风险管控试点区域。根据“乐山市地质灾害指挥部办公室关于印发《乐山市地质灾害防治网格化管理实施方案》的通知”，深入贯彻落实市委防汛减灾工作专题会议精神,切实提升全区地质灾害防治能力，在全区范围内实施地质灾害防治“划片包干、网格管理”，总体目标为按照“属地管理、分级负责、无缝对接、全面覆盖、责任到人”的原则，做到精细化网格化管理地质灾害防治工作。实行全区现有在册地质灾害隐患点、各行业已查明隐患点、各辖区新增隐患点“划片包干、网格管理”全覆盖，分类落实防范整治措施，降低地质灾害风险，最大限度减少人员伤亡和财产损失，努力实现全区地质灾害“零伤亡”目标。建议网格化管理主要分为以下两部分：</w:t>
      </w:r>
    </w:p>
    <w:p>
      <w:pPr>
        <w:snapToGrid w:val="0"/>
        <w:ind w:firstLine="560"/>
        <w:rPr>
          <w:rFonts w:ascii="仿宋" w:hAnsi="仿宋" w:eastAsia="仿宋" w:cs="仿宋"/>
          <w:sz w:val="28"/>
          <w:szCs w:val="28"/>
        </w:rPr>
      </w:pPr>
      <w:r>
        <w:rPr>
          <w:rFonts w:hint="eastAsia" w:ascii="仿宋" w:hAnsi="仿宋" w:eastAsia="仿宋" w:cs="仿宋"/>
          <w:sz w:val="28"/>
          <w:szCs w:val="28"/>
        </w:rPr>
        <w:t>1、划片包干</w:t>
      </w:r>
    </w:p>
    <w:p>
      <w:pPr>
        <w:snapToGrid w:val="0"/>
        <w:ind w:firstLine="560"/>
        <w:rPr>
          <w:rFonts w:ascii="仿宋" w:hAnsi="仿宋" w:eastAsia="仿宋" w:cs="仿宋"/>
          <w:sz w:val="28"/>
          <w:szCs w:val="28"/>
        </w:rPr>
      </w:pPr>
      <w:r>
        <w:rPr>
          <w:rFonts w:hint="eastAsia" w:ascii="仿宋" w:hAnsi="仿宋" w:eastAsia="仿宋" w:cs="仿宋"/>
          <w:sz w:val="28"/>
          <w:szCs w:val="28"/>
        </w:rPr>
        <w:t>建立划片包干责任制，逐级划片包干，逐级落实工作职责，全面抓细抓实片区内地质灾害防治工作。区级领导、区级地质灾害指挥部成员单位对辖区内各镇的地质灾害防治工作包干负责，各镇领导班子成员对辖区内村（社区）的地质灾害防治工作包干负责，各村（社区）班子成员对辖区内组（社）的地质灾害防治工作包干负责。</w:t>
      </w:r>
    </w:p>
    <w:p>
      <w:pPr>
        <w:snapToGrid w:val="0"/>
        <w:ind w:firstLine="560"/>
        <w:rPr>
          <w:rFonts w:ascii="仿宋" w:hAnsi="仿宋" w:eastAsia="仿宋" w:cs="仿宋"/>
          <w:sz w:val="28"/>
          <w:szCs w:val="28"/>
        </w:rPr>
      </w:pPr>
      <w:r>
        <w:rPr>
          <w:rFonts w:hint="eastAsia" w:ascii="仿宋" w:hAnsi="仿宋" w:eastAsia="仿宋" w:cs="仿宋"/>
          <w:sz w:val="28"/>
          <w:szCs w:val="28"/>
        </w:rPr>
        <w:t>2、网格管理</w:t>
      </w:r>
    </w:p>
    <w:p>
      <w:pPr>
        <w:snapToGrid w:val="0"/>
        <w:ind w:firstLine="560"/>
        <w:rPr>
          <w:rFonts w:ascii="仿宋" w:hAnsi="仿宋" w:eastAsia="仿宋" w:cs="仿宋"/>
          <w:sz w:val="28"/>
          <w:szCs w:val="28"/>
        </w:rPr>
      </w:pPr>
      <w:r>
        <w:rPr>
          <w:rFonts w:hint="eastAsia" w:ascii="仿宋" w:hAnsi="仿宋" w:eastAsia="仿宋" w:cs="仿宋"/>
          <w:sz w:val="28"/>
          <w:szCs w:val="28"/>
        </w:rPr>
        <w:t>按照“任务担当、方便管理、界定清晰、责任明确”的原则，构建风险管控网格化管理体系。</w:t>
      </w:r>
    </w:p>
    <w:p>
      <w:pPr>
        <w:snapToGrid w:val="0"/>
        <w:ind w:firstLine="560"/>
        <w:rPr>
          <w:rFonts w:ascii="仿宋" w:hAnsi="仿宋" w:eastAsia="仿宋" w:cs="仿宋"/>
          <w:sz w:val="28"/>
          <w:szCs w:val="28"/>
        </w:rPr>
      </w:pPr>
      <w:r>
        <w:rPr>
          <w:rFonts w:hint="eastAsia" w:ascii="仿宋" w:hAnsi="仿宋" w:eastAsia="仿宋" w:cs="仿宋"/>
          <w:sz w:val="28"/>
          <w:szCs w:val="28"/>
        </w:rPr>
        <w:t>以镇行政区划为单元，村（社区）行政区划为网格，绘制地质灾害防治网格图，在网格图上细化在册地质灾害隐患点、各行业已查明隐患点、各类新增隐患点防治的有关信息，全部实施网格化管理。没有隐患点的镇、村（社区），也要划定网格，做好网格内地质灾害隐患排查、宣传等工作。各网格要逐一明确网格责任人、网格管理员、网格协管员、网格员。</w:t>
      </w:r>
    </w:p>
    <w:p>
      <w:pPr>
        <w:snapToGrid w:val="0"/>
        <w:ind w:firstLine="560"/>
        <w:rPr>
          <w:rFonts w:ascii="仿宋" w:hAnsi="仿宋" w:eastAsia="仿宋" w:cs="仿宋"/>
          <w:sz w:val="28"/>
          <w:szCs w:val="28"/>
        </w:rPr>
      </w:pPr>
      <w:bookmarkStart w:id="482" w:name="_Toc6330"/>
      <w:r>
        <w:rPr>
          <w:rFonts w:hint="eastAsia" w:ascii="仿宋" w:hAnsi="仿宋" w:eastAsia="仿宋" w:cs="仿宋"/>
          <w:sz w:val="28"/>
          <w:szCs w:val="28"/>
        </w:rPr>
        <w:t>（二）城镇地灾防治风险评估与国土空间管控</w:t>
      </w:r>
      <w:bookmarkEnd w:id="482"/>
    </w:p>
    <w:p>
      <w:pPr>
        <w:snapToGrid w:val="0"/>
        <w:ind w:firstLine="560"/>
        <w:rPr>
          <w:rFonts w:ascii="仿宋" w:hAnsi="仿宋" w:eastAsia="仿宋" w:cs="仿宋"/>
          <w:sz w:val="28"/>
          <w:szCs w:val="28"/>
        </w:rPr>
      </w:pPr>
      <w:r>
        <w:rPr>
          <w:rFonts w:hint="eastAsia" w:ascii="仿宋" w:hAnsi="仿宋" w:eastAsia="仿宋" w:cs="仿宋"/>
          <w:sz w:val="28"/>
          <w:szCs w:val="28"/>
        </w:rPr>
        <w:t>探索建立地质灾害风险源头管控机制，衔接地质灾害高易发区和极高、高风险区国土空间规划和用途管制，严格落实地质灾害易发区工程建设等领域地质灾害危险性评估制度，加强评估成果运用与监管。</w:t>
      </w:r>
    </w:p>
    <w:p>
      <w:pPr>
        <w:snapToGrid w:val="0"/>
        <w:ind w:firstLine="560"/>
        <w:rPr>
          <w:rFonts w:ascii="仿宋" w:hAnsi="仿宋" w:eastAsia="仿宋" w:cs="仿宋"/>
          <w:sz w:val="28"/>
          <w:szCs w:val="28"/>
        </w:rPr>
      </w:pPr>
      <w:r>
        <w:rPr>
          <w:rFonts w:hint="eastAsia" w:ascii="仿宋" w:hAnsi="仿宋" w:eastAsia="仿宋" w:cs="仿宋"/>
          <w:sz w:val="28"/>
          <w:szCs w:val="28"/>
        </w:rPr>
        <w:t>在地质灾害易发区进行较大规模的工程建设，要进行建设用地地质灾害危险性评估，在地质灾害中易发区和不易发区的较大规模的工程建设，也要尽量进行建设用地地质灾害危险性评估。开展此项工作，能使工程建设不致破坏地质环境形成地质灾害，或工程建设免遭地质灾害。工程设计和施工中注意加强地质环境保护，减少人为破坏，避免因开挖、弃土、排水而诱发斜坡松散堆积物的滑坡、崩塌。对于各类工程建设所形成的不稳定边坡应采取必要的挡墙、保坎等护坡措施。特别是地质灾害易发区农户在新建房屋、改扩建旧房时，必须对建房地址区进行地质灾害危险性评估（或专家、乡镇专业人员进行预测），避免新建筑又处于地质灾害危险区。加强矿山开采特别是乡镇、村办和个体采矿企业的统一规划管理，主要是加强页岩砖厂、采石场、采沙场地质灾害危险性评估工作的开展和生产过程中的监督检查，做到持证开采和有序开采，使矿山开采与地质环境保护同步进行。</w:t>
      </w:r>
    </w:p>
    <w:p>
      <w:pPr>
        <w:snapToGrid w:val="0"/>
        <w:ind w:firstLine="560"/>
        <w:rPr>
          <w:rFonts w:ascii="仿宋" w:hAnsi="仿宋" w:eastAsia="仿宋" w:cs="仿宋"/>
          <w:sz w:val="28"/>
          <w:szCs w:val="28"/>
        </w:rPr>
      </w:pPr>
      <w:bookmarkStart w:id="483" w:name="_Toc29052"/>
      <w:r>
        <w:rPr>
          <w:rFonts w:hint="eastAsia" w:ascii="仿宋" w:hAnsi="仿宋" w:eastAsia="仿宋" w:cs="仿宋"/>
          <w:sz w:val="28"/>
          <w:szCs w:val="28"/>
        </w:rPr>
        <w:t>三、年度地质灾害隐患、风险排查</w:t>
      </w:r>
      <w:bookmarkEnd w:id="483"/>
    </w:p>
    <w:p>
      <w:pPr>
        <w:snapToGrid w:val="0"/>
        <w:ind w:firstLine="560"/>
        <w:rPr>
          <w:rFonts w:ascii="仿宋" w:hAnsi="仿宋" w:eastAsia="仿宋" w:cs="仿宋"/>
          <w:sz w:val="28"/>
          <w:szCs w:val="28"/>
        </w:rPr>
      </w:pPr>
      <w:r>
        <w:rPr>
          <w:rFonts w:hint="eastAsia" w:ascii="仿宋" w:hAnsi="仿宋" w:eastAsia="仿宋" w:cs="仿宋"/>
          <w:sz w:val="28"/>
          <w:szCs w:val="28"/>
        </w:rPr>
        <w:t>“十四五”期间我区每年度严格落实地质灾害隐患“汛前排查、汛中巡查、汛后核查”常态化巡查和“雨前排查、雨中巡查、雨后核查”动态排查，对全区现存的55个地质灾害隐患点和规划期内新增的隐患点的变形特征发展趋势及危害对象逐一排查，核实地质灾害隐患点的增减情况及原因，并做相应的防治措施调整。完成风险区动态管理及风险等级排序工作，并动态更新地质灾害隐患数据库及风险数据库。</w:t>
      </w:r>
    </w:p>
    <w:p>
      <w:pPr>
        <w:pStyle w:val="6"/>
        <w:snapToGrid w:val="0"/>
        <w:spacing w:beforeLines="0" w:afterLines="0"/>
        <w:ind w:firstLine="562" w:firstLineChars="200"/>
        <w:rPr>
          <w:rFonts w:cs="仿宋"/>
          <w:szCs w:val="28"/>
        </w:rPr>
      </w:pPr>
      <w:bookmarkStart w:id="484" w:name="_Toc20170"/>
      <w:bookmarkStart w:id="485" w:name="_Toc29753"/>
      <w:r>
        <w:rPr>
          <w:rFonts w:hint="eastAsia" w:cs="仿宋"/>
          <w:szCs w:val="28"/>
        </w:rPr>
        <w:t>三、 地质灾害监测预警工程</w:t>
      </w:r>
      <w:bookmarkEnd w:id="484"/>
      <w:bookmarkEnd w:id="485"/>
    </w:p>
    <w:p>
      <w:pPr>
        <w:snapToGrid w:val="0"/>
        <w:ind w:firstLine="560"/>
        <w:rPr>
          <w:rFonts w:ascii="仿宋" w:hAnsi="仿宋" w:eastAsia="仿宋" w:cs="仿宋"/>
          <w:sz w:val="28"/>
          <w:szCs w:val="28"/>
        </w:rPr>
      </w:pPr>
      <w:bookmarkStart w:id="486" w:name="_Toc19858"/>
      <w:r>
        <w:rPr>
          <w:rFonts w:hint="eastAsia" w:ascii="仿宋" w:hAnsi="仿宋" w:eastAsia="仿宋" w:cs="仿宋"/>
          <w:sz w:val="28"/>
          <w:szCs w:val="28"/>
        </w:rPr>
        <w:t>（一）群测群防专职监测</w:t>
      </w:r>
      <w:bookmarkEnd w:id="486"/>
    </w:p>
    <w:p>
      <w:pPr>
        <w:snapToGrid w:val="0"/>
        <w:ind w:firstLine="560"/>
        <w:rPr>
          <w:rFonts w:ascii="仿宋" w:hAnsi="仿宋" w:eastAsia="仿宋" w:cs="仿宋"/>
          <w:sz w:val="28"/>
          <w:szCs w:val="28"/>
        </w:rPr>
      </w:pPr>
      <w:r>
        <w:rPr>
          <w:rFonts w:hint="eastAsia" w:ascii="仿宋" w:hAnsi="仿宋" w:eastAsia="仿宋" w:cs="仿宋"/>
          <w:sz w:val="28"/>
          <w:szCs w:val="28"/>
        </w:rPr>
        <w:t>五通桥区现有地灾隐患点55处，地质灾害隐患点实行分级管理，下级对上级负责，明确职责，层层把关。由政府提供公共监测岗位，安排以村社干部和骨干群众为主体的55名专职监测员开展动态巡查和监测预警。保证汛期地质灾害监测预防网络24小时畅通，加强地质灾害巡回检查坚持和完善汛期24小时值班制度、防灾巡查制度和灾情报告等制度。“十四五”期间专职监测队伍建设方案如下：</w:t>
      </w:r>
    </w:p>
    <w:p>
      <w:pPr>
        <w:snapToGrid w:val="0"/>
        <w:ind w:firstLine="560"/>
        <w:rPr>
          <w:rFonts w:ascii="仿宋" w:hAnsi="仿宋" w:eastAsia="仿宋" w:cs="仿宋"/>
          <w:sz w:val="28"/>
          <w:szCs w:val="28"/>
        </w:rPr>
      </w:pPr>
      <w:r>
        <w:rPr>
          <w:rFonts w:hint="eastAsia" w:ascii="仿宋" w:hAnsi="仿宋" w:eastAsia="仿宋" w:cs="仿宋"/>
          <w:sz w:val="28"/>
          <w:szCs w:val="28"/>
        </w:rPr>
        <w:t>1、选强配齐地质灾害隐患点监测员</w:t>
      </w:r>
    </w:p>
    <w:p>
      <w:pPr>
        <w:snapToGrid w:val="0"/>
        <w:ind w:firstLine="560"/>
        <w:rPr>
          <w:rFonts w:ascii="仿宋" w:hAnsi="仿宋" w:eastAsia="仿宋" w:cs="仿宋"/>
          <w:sz w:val="28"/>
          <w:szCs w:val="28"/>
        </w:rPr>
      </w:pPr>
      <w:r>
        <w:rPr>
          <w:rFonts w:hint="eastAsia" w:ascii="仿宋" w:hAnsi="仿宋" w:eastAsia="仿宋" w:cs="仿宋"/>
          <w:sz w:val="28"/>
          <w:szCs w:val="28"/>
        </w:rPr>
        <w:t>对地质灾害点附近村民的文化程度、年龄等情况进行综合考虑后，选择责任心强、文化程度较高的人员作为地质灾害监测员，同时各镇、区自然资源局对监测员的工作进行不定期的抽查，抽查的内容主要包括监测员监测信息的记录是否规范，对地质灾害的基本知识、临灾预兆特征、避险路线和避险地点等是否清楚，同时年底应对各地质灾害点监测员当年的工作进行考核，对不认真负责，责任心不强，不能胜任地质灾害监测工作的监测员及时进行更换。全区55个地质灾害隐患点均落实专职监测人员，明确联络方式，确保通讯畅通无误。对于规划期内新增的地质灾害隐患点，各镇应及时落实监测员并配发必要的监测设备和费用。</w:t>
      </w:r>
    </w:p>
    <w:p>
      <w:pPr>
        <w:snapToGrid w:val="0"/>
        <w:ind w:firstLine="560"/>
        <w:rPr>
          <w:rFonts w:ascii="仿宋" w:hAnsi="仿宋" w:eastAsia="仿宋" w:cs="仿宋"/>
          <w:sz w:val="28"/>
          <w:szCs w:val="28"/>
        </w:rPr>
      </w:pPr>
      <w:r>
        <w:rPr>
          <w:rFonts w:hint="eastAsia" w:ascii="仿宋" w:hAnsi="仿宋" w:eastAsia="仿宋" w:cs="仿宋"/>
          <w:sz w:val="28"/>
          <w:szCs w:val="28"/>
        </w:rPr>
        <w:t>2、提高监测员监测能力和防治水平</w:t>
      </w:r>
    </w:p>
    <w:p>
      <w:pPr>
        <w:snapToGrid w:val="0"/>
        <w:ind w:firstLine="560"/>
        <w:rPr>
          <w:rFonts w:ascii="仿宋" w:hAnsi="仿宋" w:eastAsia="仿宋" w:cs="仿宋"/>
          <w:sz w:val="28"/>
          <w:szCs w:val="28"/>
        </w:rPr>
      </w:pPr>
      <w:r>
        <w:rPr>
          <w:rFonts w:hint="eastAsia" w:ascii="仿宋" w:hAnsi="仿宋" w:eastAsia="仿宋" w:cs="仿宋"/>
          <w:sz w:val="28"/>
          <w:szCs w:val="28"/>
        </w:rPr>
        <w:t>有针对性地对辖区内专职地质灾害监测人员进行岗位培训，可采取集中培训，也可采用现场培训的方式，培训的主要内容有：①对滑坡、崩塌、泥石流、地面塌陷等各类灾害种类的认识，以及各类灾害的基本要素；②各类地质灾害发生的前兆特征；③地质灾害发生时应如何应急避险；④地质灾害的日常的简易监测方法和监测记录的规范填写；⑤明确撤离路线和应急避险地点。通过培训，目的在提高地质灾害监测员的预防和处置突发性地质灾害的能力，能够使用简单仪器监测地质灾害。</w:t>
      </w:r>
    </w:p>
    <w:p>
      <w:pPr>
        <w:snapToGrid w:val="0"/>
        <w:ind w:firstLine="560"/>
        <w:rPr>
          <w:rFonts w:ascii="仿宋" w:hAnsi="仿宋" w:eastAsia="仿宋" w:cs="仿宋"/>
          <w:sz w:val="28"/>
          <w:szCs w:val="28"/>
        </w:rPr>
      </w:pPr>
      <w:r>
        <w:rPr>
          <w:rFonts w:hint="eastAsia" w:ascii="仿宋" w:hAnsi="仿宋" w:eastAsia="仿宋" w:cs="仿宋"/>
          <w:sz w:val="28"/>
          <w:szCs w:val="28"/>
        </w:rPr>
        <w:t>3、充分调动监测人员工作积极性</w:t>
      </w:r>
    </w:p>
    <w:p>
      <w:pPr>
        <w:snapToGrid w:val="0"/>
        <w:ind w:firstLine="560"/>
        <w:rPr>
          <w:rFonts w:ascii="仿宋" w:hAnsi="仿宋" w:eastAsia="仿宋" w:cs="仿宋"/>
          <w:sz w:val="28"/>
          <w:szCs w:val="28"/>
        </w:rPr>
      </w:pPr>
      <w:r>
        <w:rPr>
          <w:rFonts w:hint="eastAsia" w:ascii="仿宋" w:hAnsi="仿宋" w:eastAsia="仿宋" w:cs="仿宋"/>
          <w:sz w:val="28"/>
          <w:szCs w:val="28"/>
        </w:rPr>
        <w:t>确保资金专款专用，及时的拨付地质灾害监测员的工作经费。同时为每位专职监测人员购买汛期监测工作意外伤害保险，充分调动了专职监测人员的积极性。</w:t>
      </w:r>
    </w:p>
    <w:p>
      <w:pPr>
        <w:snapToGrid w:val="0"/>
        <w:ind w:firstLine="560"/>
        <w:rPr>
          <w:rFonts w:ascii="仿宋" w:hAnsi="仿宋" w:eastAsia="仿宋" w:cs="仿宋"/>
          <w:sz w:val="28"/>
          <w:szCs w:val="28"/>
        </w:rPr>
      </w:pPr>
      <w:r>
        <w:rPr>
          <w:rFonts w:hint="eastAsia" w:ascii="仿宋" w:hAnsi="仿宋" w:eastAsia="仿宋" w:cs="仿宋"/>
          <w:sz w:val="28"/>
          <w:szCs w:val="28"/>
        </w:rPr>
        <w:t>4、切实加强隐患监测工作必要投入</w:t>
      </w:r>
    </w:p>
    <w:p>
      <w:pPr>
        <w:snapToGrid w:val="0"/>
        <w:ind w:firstLine="560"/>
        <w:rPr>
          <w:rFonts w:ascii="仿宋" w:hAnsi="仿宋" w:eastAsia="仿宋" w:cs="仿宋"/>
          <w:sz w:val="28"/>
          <w:szCs w:val="28"/>
        </w:rPr>
      </w:pPr>
      <w:r>
        <w:rPr>
          <w:rFonts w:hint="eastAsia" w:ascii="仿宋" w:hAnsi="仿宋" w:eastAsia="仿宋" w:cs="仿宋"/>
          <w:sz w:val="28"/>
          <w:szCs w:val="28"/>
        </w:rPr>
        <w:t>统一购置监测记录笔和监测手册，为监测人员购置配发卷尺、钢钉、油漆、手提扩音器、报警铜锣、手电筒、雨衣、雨靴、记录本和无线裂缝伸缩仪等基本装备。</w:t>
      </w:r>
    </w:p>
    <w:p>
      <w:pPr>
        <w:snapToGrid w:val="0"/>
        <w:ind w:firstLine="560"/>
        <w:rPr>
          <w:rFonts w:ascii="仿宋" w:hAnsi="仿宋" w:eastAsia="仿宋" w:cs="仿宋"/>
          <w:sz w:val="28"/>
          <w:szCs w:val="28"/>
        </w:rPr>
      </w:pPr>
      <w:bookmarkStart w:id="487" w:name="_Toc25810"/>
      <w:r>
        <w:rPr>
          <w:rFonts w:hint="eastAsia" w:ascii="仿宋" w:hAnsi="仿宋" w:eastAsia="仿宋" w:cs="仿宋"/>
          <w:sz w:val="28"/>
          <w:szCs w:val="28"/>
        </w:rPr>
        <w:t>（二）群专结合监测预警研究及技术服务</w:t>
      </w:r>
      <w:bookmarkEnd w:id="487"/>
    </w:p>
    <w:p>
      <w:pPr>
        <w:snapToGrid w:val="0"/>
        <w:ind w:firstLine="560"/>
        <w:rPr>
          <w:rFonts w:ascii="仿宋" w:hAnsi="仿宋" w:eastAsia="仿宋" w:cs="仿宋"/>
          <w:sz w:val="28"/>
          <w:szCs w:val="28"/>
        </w:rPr>
      </w:pPr>
      <w:r>
        <w:rPr>
          <w:rFonts w:hint="eastAsia" w:ascii="仿宋" w:hAnsi="仿宋" w:eastAsia="仿宋" w:cs="仿宋"/>
          <w:sz w:val="28"/>
          <w:szCs w:val="28"/>
        </w:rPr>
        <w:t>根据《</w:t>
      </w:r>
      <w:bookmarkStart w:id="488" w:name="_Toc293983370"/>
      <w:bookmarkStart w:id="489" w:name="_Toc291070843"/>
      <w:r>
        <w:rPr>
          <w:rFonts w:hint="eastAsia" w:ascii="仿宋" w:hAnsi="仿宋" w:eastAsia="仿宋" w:cs="仿宋"/>
          <w:sz w:val="28"/>
          <w:szCs w:val="28"/>
        </w:rPr>
        <w:t>四川省自然资源厅关于深入推进政府购买地质灾害专业监测预警服务工作的指导意见》（川自然资规〔2019〕1号）、《四川省地质灾害专业监测技术要求（试行）》《四川省自然资源厅办公室关于切实加强地质灾害自动化实时监测体系建设工作的通知》（川国土资办发〔2017〕44号）、《政府购买服务管理办法（暂行）》和《四川省人民政府办公厅关于推进政府向社会力量购买服务工作的意见》的相关文件要求，</w:t>
      </w:r>
      <w:bookmarkEnd w:id="488"/>
      <w:bookmarkEnd w:id="489"/>
      <w:r>
        <w:rPr>
          <w:rFonts w:hint="eastAsia" w:ascii="仿宋" w:hAnsi="仿宋" w:eastAsia="仿宋" w:cs="仿宋"/>
          <w:sz w:val="28"/>
          <w:szCs w:val="28"/>
        </w:rPr>
        <w:t>通过安装自动雨量站、裂缝监测仪、GNSS监测、泥位计、报警器等专业设备分批次实现对重大地质灾害隐患点的自动实时监测预警，并通过建设专业预警平台，实现省、市、县三级信息互联互通的功能和监测成果数据能够实时共享。预防为主、人防与技防结合。坚持自动化实时监测与群测群防监测相结合，常规方法和高新技术相结合，以科技为支撑，着力提高监测预警预报科技水平。</w:t>
      </w:r>
    </w:p>
    <w:p>
      <w:pPr>
        <w:snapToGrid w:val="0"/>
        <w:ind w:firstLine="560"/>
        <w:rPr>
          <w:rFonts w:ascii="仿宋" w:hAnsi="仿宋" w:eastAsia="仿宋" w:cs="仿宋"/>
          <w:sz w:val="28"/>
          <w:szCs w:val="28"/>
        </w:rPr>
      </w:pPr>
      <w:r>
        <w:rPr>
          <w:rFonts w:hint="eastAsia" w:ascii="仿宋" w:hAnsi="仿宋" w:eastAsia="仿宋" w:cs="仿宋"/>
          <w:sz w:val="28"/>
          <w:szCs w:val="28"/>
        </w:rPr>
        <w:t>1、统筹规划、分步推进。在充分考虑地质灾害隐患点受威胁人数、危险程度、规模大小等因素的基础上，综合确定监测对象、主要监测元素、监测方法，并通过专业监测预警设备和数据库建设，分期分批对辖区地质灾害隐患点实现自动化实时监测预警。</w:t>
      </w:r>
    </w:p>
    <w:p>
      <w:pPr>
        <w:snapToGrid w:val="0"/>
        <w:ind w:firstLine="560"/>
        <w:rPr>
          <w:rFonts w:ascii="仿宋" w:hAnsi="仿宋" w:eastAsia="仿宋" w:cs="仿宋"/>
          <w:sz w:val="28"/>
          <w:szCs w:val="28"/>
        </w:rPr>
      </w:pPr>
      <w:r>
        <w:rPr>
          <w:rFonts w:hint="eastAsia" w:ascii="仿宋" w:hAnsi="仿宋" w:eastAsia="仿宋" w:cs="仿宋"/>
          <w:sz w:val="28"/>
          <w:szCs w:val="28"/>
        </w:rPr>
        <w:t>2、科学经济、突出重点。在满足监测精度的前提下，选用经济、经久耐用、操作简便、易于维护的自动监测设备，重点对威胁人数较多，险情较重、危害较大且稳定性差的滑坡、崩塌、泥石流等地质灾害隐患点进行建设。</w:t>
      </w:r>
    </w:p>
    <w:p>
      <w:pPr>
        <w:snapToGrid w:val="0"/>
        <w:ind w:firstLine="560"/>
      </w:pPr>
      <w:r>
        <w:rPr>
          <w:rFonts w:hint="eastAsia" w:ascii="仿宋" w:hAnsi="仿宋" w:eastAsia="仿宋" w:cs="仿宋"/>
          <w:sz w:val="28"/>
          <w:szCs w:val="28"/>
        </w:rPr>
        <w:t>3、互联互通、实时共享。通过专业监测预警设备和数据库建设，实时实现野外监测设备自动报警，监测数据自动采集汇总、分析整理、传输发布，确保监测成果实时发送至地质灾害隐患点防灾责任人、监测责任人、监测人、隐患区受威胁群众及自然资源相关人员，保障监测成果省、市、县三级互联互通、实时共享。从2017年第一批自动化监测项目以来，五通桥区已建设7处自动化监测点。</w:t>
      </w:r>
    </w:p>
    <w:p>
      <w:pPr>
        <w:widowControl/>
        <w:snapToGrid w:val="0"/>
        <w:ind w:firstLine="422"/>
        <w:jc w:val="center"/>
        <w:rPr>
          <w:rFonts w:ascii="仿宋" w:hAnsi="仿宋" w:eastAsia="仿宋" w:cs="仿宋"/>
          <w:b/>
          <w:sz w:val="21"/>
          <w:szCs w:val="21"/>
        </w:rPr>
      </w:pPr>
      <w:r>
        <w:rPr>
          <w:rFonts w:hint="eastAsia" w:ascii="仿宋" w:hAnsi="仿宋" w:eastAsia="仿宋" w:cs="仿宋"/>
          <w:b/>
          <w:sz w:val="21"/>
          <w:szCs w:val="21"/>
        </w:rPr>
        <w:t>表5-5已完成监测设备站点汇总表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85"/>
        <w:gridCol w:w="2056"/>
        <w:gridCol w:w="505"/>
        <w:gridCol w:w="743"/>
        <w:gridCol w:w="863"/>
        <w:gridCol w:w="505"/>
        <w:gridCol w:w="743"/>
        <w:gridCol w:w="476"/>
        <w:gridCol w:w="385"/>
        <w:gridCol w:w="1614"/>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序号</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站点名称</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声光报警器</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拉线式位移计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倾角计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裂缝报警器</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GNSS</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立杆</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备注</w:t>
            </w:r>
          </w:p>
        </w:tc>
        <w:tc>
          <w:tcPr>
            <w:tcW w:w="0" w:type="auto"/>
            <w:vAlign w:val="center"/>
          </w:tcPr>
          <w:p>
            <w:pPr>
              <w:widowControl/>
              <w:snapToGrid w:val="0"/>
              <w:spacing w:line="240" w:lineRule="auto"/>
              <w:ind w:firstLine="0" w:firstLineChars="0"/>
              <w:jc w:val="center"/>
              <w:textAlignment w:val="center"/>
              <w:rPr>
                <w:rFonts w:ascii="仿宋" w:hAnsi="仿宋" w:eastAsia="仿宋" w:cs="仿宋"/>
                <w:sz w:val="21"/>
                <w:szCs w:val="21"/>
              </w:rPr>
            </w:pPr>
            <w:r>
              <w:rPr>
                <w:rFonts w:hint="eastAsia" w:ascii="仿宋" w:hAnsi="仿宋" w:eastAsia="仿宋" w:cs="仿宋"/>
                <w:kern w:val="0"/>
                <w:sz w:val="21"/>
                <w:szCs w:val="21"/>
                <w:lang w:bidi="ar"/>
              </w:rPr>
              <w:t>运行效果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5"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石麟镇大桥村15组安子嘴崩塌</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石麟镇马儿石村3组五通沟崩塌</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金粟镇金江村2组令牌石危岩</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雨量声光裂缝2倾角</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4</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金粟镇五一村3组白虎山滑坡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0</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雨量声光GNSS/2GNSS</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5"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5</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金山镇金玉村5组石笋危岩</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雨量声光2裂缝倾角</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6</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杨柳镇红豆村7组人和井老虎岩崩塌</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雨量声光2裂缝倾角</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7</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sz w:val="21"/>
                <w:szCs w:val="21"/>
              </w:rPr>
              <w:t>金粟镇金江村1组滑坡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雨量声光2裂缝倾角</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bl>
    <w:p>
      <w:pPr>
        <w:ind w:firstLine="480"/>
      </w:pPr>
      <w:bookmarkStart w:id="490" w:name="_Toc7480"/>
    </w:p>
    <w:p>
      <w:pPr>
        <w:pStyle w:val="6"/>
        <w:snapToGrid w:val="0"/>
        <w:spacing w:beforeLines="0" w:afterLines="0"/>
        <w:ind w:firstLine="562" w:firstLineChars="200"/>
        <w:rPr>
          <w:rFonts w:cs="仿宋"/>
          <w:szCs w:val="28"/>
        </w:rPr>
      </w:pPr>
      <w:bookmarkStart w:id="491" w:name="_Toc6300"/>
      <w:r>
        <w:rPr>
          <w:rFonts w:hint="eastAsia" w:cs="仿宋"/>
          <w:szCs w:val="28"/>
        </w:rPr>
        <w:t>四、 地质灾害信息化建设服务工程</w:t>
      </w:r>
      <w:bookmarkEnd w:id="490"/>
      <w:bookmarkEnd w:id="491"/>
    </w:p>
    <w:p>
      <w:pPr>
        <w:snapToGrid w:val="0"/>
        <w:ind w:firstLine="560"/>
        <w:rPr>
          <w:rFonts w:ascii="仿宋" w:hAnsi="仿宋" w:eastAsia="仿宋" w:cs="仿宋"/>
          <w:sz w:val="28"/>
          <w:szCs w:val="28"/>
        </w:rPr>
      </w:pPr>
      <w:bookmarkStart w:id="492" w:name="_Toc3787"/>
      <w:r>
        <w:rPr>
          <w:rFonts w:hint="eastAsia" w:ascii="仿宋" w:hAnsi="仿宋" w:eastAsia="仿宋" w:cs="仿宋"/>
          <w:sz w:val="28"/>
          <w:szCs w:val="28"/>
        </w:rPr>
        <w:t>（一）地质灾害智慧防灾云系统及应用</w:t>
      </w:r>
      <w:bookmarkEnd w:id="492"/>
    </w:p>
    <w:p>
      <w:pPr>
        <w:snapToGrid w:val="0"/>
        <w:ind w:firstLine="560"/>
        <w:rPr>
          <w:rFonts w:ascii="仿宋" w:hAnsi="仿宋" w:eastAsia="仿宋" w:cs="仿宋"/>
          <w:sz w:val="28"/>
          <w:szCs w:val="28"/>
        </w:rPr>
      </w:pPr>
      <w:r>
        <w:rPr>
          <w:rFonts w:hint="eastAsia" w:ascii="仿宋" w:hAnsi="仿宋" w:eastAsia="仿宋" w:cs="仿宋"/>
          <w:sz w:val="28"/>
          <w:szCs w:val="28"/>
        </w:rPr>
        <w:t>根据省厅部署，依托相关平台资源，围绕地质灾害风险评估、隐患识别、监测预警、风险管控、灾险情处置等地质灾害防治全业务流程，在已有地质环境管理信息系统基础上，兼容数据存储、处理、分析和展示功能，集成各类区“隐患码”和“风险码”，逐步推广省厅开发的地质灾害综合防治体系3.0使用。</w:t>
      </w:r>
    </w:p>
    <w:p>
      <w:pPr>
        <w:snapToGrid w:val="0"/>
        <w:ind w:firstLine="560"/>
        <w:rPr>
          <w:rFonts w:ascii="仿宋" w:hAnsi="仿宋" w:eastAsia="仿宋" w:cs="仿宋"/>
          <w:sz w:val="28"/>
          <w:szCs w:val="28"/>
        </w:rPr>
      </w:pPr>
      <w:bookmarkStart w:id="493" w:name="_Toc27184"/>
      <w:r>
        <w:rPr>
          <w:rFonts w:hint="eastAsia" w:ascii="仿宋" w:hAnsi="仿宋" w:eastAsia="仿宋" w:cs="仿宋"/>
          <w:sz w:val="28"/>
          <w:szCs w:val="28"/>
        </w:rPr>
        <w:t>（二）地质灾害监测预警系统升级</w:t>
      </w:r>
      <w:bookmarkEnd w:id="493"/>
    </w:p>
    <w:p>
      <w:pPr>
        <w:snapToGrid w:val="0"/>
        <w:ind w:firstLine="560"/>
        <w:rPr>
          <w:rFonts w:ascii="仿宋" w:hAnsi="仿宋" w:eastAsia="仿宋" w:cs="仿宋"/>
          <w:sz w:val="28"/>
          <w:szCs w:val="28"/>
        </w:rPr>
      </w:pPr>
      <w:r>
        <w:rPr>
          <w:rFonts w:hint="eastAsia" w:ascii="仿宋" w:hAnsi="仿宋" w:eastAsia="仿宋" w:cs="仿宋"/>
          <w:sz w:val="28"/>
          <w:szCs w:val="28"/>
        </w:rPr>
        <w:t xml:space="preserve">依托相关平台资源，推动建立地质灾害监测预警平台，实现互联互通。探索构建系统一体化、数据集成化、信息综合化和成果可视化的地质灾害气象风险预警体系。结合气象预报技术进步，推动将五通桥区地质灾害气象风险预警精度由5×5千米提升到1×1千米，提高地质灾害气象风险预警质量和效率。 </w:t>
      </w:r>
    </w:p>
    <w:bookmarkEnd w:id="463"/>
    <w:bookmarkEnd w:id="464"/>
    <w:bookmarkEnd w:id="465"/>
    <w:bookmarkEnd w:id="466"/>
    <w:bookmarkEnd w:id="467"/>
    <w:p>
      <w:pPr>
        <w:pStyle w:val="6"/>
        <w:snapToGrid w:val="0"/>
        <w:spacing w:beforeLines="0" w:afterLines="0"/>
        <w:ind w:firstLine="562" w:firstLineChars="200"/>
        <w:rPr>
          <w:rFonts w:cs="仿宋"/>
          <w:szCs w:val="28"/>
        </w:rPr>
      </w:pPr>
      <w:bookmarkStart w:id="494" w:name="_Toc1619"/>
      <w:bookmarkStart w:id="495" w:name="_Toc29409"/>
      <w:r>
        <w:rPr>
          <w:rFonts w:hint="eastAsia" w:cs="仿宋"/>
          <w:szCs w:val="28"/>
        </w:rPr>
        <w:t>五、 地质灾害防治能力提升工程</w:t>
      </w:r>
      <w:bookmarkEnd w:id="494"/>
      <w:bookmarkEnd w:id="495"/>
    </w:p>
    <w:p>
      <w:pPr>
        <w:snapToGrid w:val="0"/>
        <w:ind w:firstLine="560"/>
        <w:rPr>
          <w:rFonts w:ascii="仿宋" w:hAnsi="仿宋" w:eastAsia="仿宋" w:cs="仿宋"/>
          <w:sz w:val="28"/>
          <w:szCs w:val="28"/>
        </w:rPr>
      </w:pPr>
      <w:bookmarkStart w:id="496" w:name="_Toc10986"/>
      <w:r>
        <w:rPr>
          <w:rFonts w:hint="eastAsia" w:ascii="仿宋" w:hAnsi="仿宋" w:eastAsia="仿宋" w:cs="仿宋"/>
          <w:sz w:val="28"/>
          <w:szCs w:val="28"/>
        </w:rPr>
        <w:t>（一）专业支撑体系建设</w:t>
      </w:r>
      <w:bookmarkEnd w:id="496"/>
    </w:p>
    <w:p>
      <w:pPr>
        <w:snapToGrid w:val="0"/>
        <w:ind w:firstLine="560"/>
        <w:rPr>
          <w:rFonts w:ascii="仿宋" w:hAnsi="仿宋" w:eastAsia="仿宋" w:cs="仿宋"/>
          <w:sz w:val="28"/>
          <w:szCs w:val="28"/>
        </w:rPr>
      </w:pPr>
      <w:r>
        <w:rPr>
          <w:rFonts w:hint="eastAsia" w:ascii="仿宋" w:hAnsi="仿宋" w:eastAsia="仿宋" w:cs="仿宋"/>
          <w:sz w:val="28"/>
          <w:szCs w:val="28"/>
        </w:rPr>
        <w:t>积极依托省修复防治院地质灾害隐患识别及监测预警技术服务中心，加大高分遥感技术应用，探索建立融合隐患识别、临近预报、短临预警于一体的综合监测预警体系，为全区地质灾害隐患判识及监测预警工作提供高效服务支持，提高防灾工作效率。加强与地方地勘单位合作，探索共建地质灾害防治技术支撑体系，充分发挥专业技术优势。按照五通桥区地质灾害防治工作分区，构建地质灾害应急技术支撑体系，开展重大地质灾害应急监测与技术支撑项目，为重大地质灾害跨地区应急处置提供有力保障。</w:t>
      </w:r>
    </w:p>
    <w:p>
      <w:pPr>
        <w:snapToGrid w:val="0"/>
        <w:ind w:firstLine="560"/>
        <w:rPr>
          <w:rFonts w:ascii="仿宋" w:hAnsi="仿宋" w:eastAsia="仿宋" w:cs="仿宋"/>
          <w:sz w:val="28"/>
          <w:szCs w:val="28"/>
        </w:rPr>
      </w:pPr>
      <w:bookmarkStart w:id="497" w:name="_Toc1623"/>
      <w:r>
        <w:rPr>
          <w:rFonts w:hint="eastAsia" w:ascii="仿宋" w:hAnsi="仿宋" w:eastAsia="仿宋" w:cs="仿宋"/>
          <w:sz w:val="28"/>
          <w:szCs w:val="28"/>
        </w:rPr>
        <w:t>（二）装备和物资建设</w:t>
      </w:r>
      <w:bookmarkEnd w:id="497"/>
    </w:p>
    <w:p>
      <w:pPr>
        <w:snapToGrid w:val="0"/>
        <w:ind w:firstLine="560"/>
        <w:rPr>
          <w:rFonts w:ascii="仿宋" w:hAnsi="仿宋" w:eastAsia="仿宋" w:cs="仿宋"/>
          <w:sz w:val="28"/>
          <w:szCs w:val="28"/>
        </w:rPr>
      </w:pPr>
      <w:r>
        <w:rPr>
          <w:rFonts w:hint="eastAsia" w:ascii="仿宋" w:hAnsi="仿宋" w:eastAsia="仿宋" w:cs="仿宋"/>
          <w:sz w:val="28"/>
          <w:szCs w:val="28"/>
        </w:rPr>
        <w:t>设施装备建设包括基本配置和专项配置。基本配置为确保各级地质环境监测站及地质灾害应急技术指导中心履行地质灾害监测及应急防治综合职能，完成日常任务所必需的基本要求和基础配备，主要包括办公设备等。专项配置主要保障应急调查与处置、应急会商与快速决策以及信息传输发布等功能，包括应急交通与通讯系统、音（视）频通讯、远程会商系统、数据共享与交换系统等应急调查装备。</w:t>
      </w:r>
    </w:p>
    <w:p>
      <w:pPr>
        <w:snapToGrid w:val="0"/>
        <w:ind w:firstLine="560"/>
        <w:rPr>
          <w:rFonts w:ascii="仿宋" w:hAnsi="仿宋" w:eastAsia="仿宋" w:cs="仿宋"/>
          <w:sz w:val="28"/>
          <w:szCs w:val="28"/>
        </w:rPr>
      </w:pPr>
      <w:bookmarkStart w:id="498" w:name="_Toc15337"/>
      <w:r>
        <w:rPr>
          <w:rFonts w:hint="eastAsia" w:ascii="仿宋" w:hAnsi="仿宋" w:eastAsia="仿宋" w:cs="仿宋"/>
          <w:sz w:val="28"/>
          <w:szCs w:val="28"/>
        </w:rPr>
        <w:t>（三）法规制度建设</w:t>
      </w:r>
      <w:bookmarkEnd w:id="498"/>
    </w:p>
    <w:p>
      <w:pPr>
        <w:snapToGrid w:val="0"/>
        <w:ind w:firstLine="560"/>
        <w:rPr>
          <w:rFonts w:ascii="仿宋" w:hAnsi="仿宋" w:eastAsia="仿宋" w:cs="仿宋"/>
          <w:sz w:val="28"/>
          <w:szCs w:val="28"/>
        </w:rPr>
      </w:pPr>
      <w:r>
        <w:rPr>
          <w:rFonts w:hint="eastAsia" w:ascii="仿宋" w:hAnsi="仿宋" w:eastAsia="仿宋" w:cs="仿宋"/>
          <w:sz w:val="28"/>
          <w:szCs w:val="28"/>
        </w:rPr>
        <w:t>健全地质灾害法规政策和管理制度。依靠地方性法规、省级部门规章和政策文件共同构成新时期地质灾害法规政策体系建设。构建涵盖监测预警、风险管控、全域整治和项目资金管理等配套管理制度的且符合五通桥区实际情况的地质灾害综合防治体系。</w:t>
      </w:r>
    </w:p>
    <w:p>
      <w:pPr>
        <w:snapToGrid w:val="0"/>
        <w:ind w:firstLine="560"/>
        <w:rPr>
          <w:rFonts w:ascii="仿宋" w:hAnsi="仿宋" w:eastAsia="仿宋" w:cs="仿宋"/>
          <w:sz w:val="28"/>
          <w:szCs w:val="28"/>
        </w:rPr>
      </w:pPr>
      <w:bookmarkStart w:id="499" w:name="_Toc6484"/>
      <w:r>
        <w:rPr>
          <w:rFonts w:hint="eastAsia" w:ascii="仿宋" w:hAnsi="仿宋" w:eastAsia="仿宋" w:cs="仿宋"/>
          <w:sz w:val="28"/>
          <w:szCs w:val="28"/>
        </w:rPr>
        <w:t>（四）基层动员能力建设</w:t>
      </w:r>
      <w:bookmarkEnd w:id="499"/>
    </w:p>
    <w:p>
      <w:pPr>
        <w:snapToGrid w:val="0"/>
        <w:ind w:firstLine="560"/>
        <w:rPr>
          <w:rFonts w:ascii="仿宋" w:hAnsi="仿宋" w:eastAsia="仿宋" w:cs="仿宋"/>
          <w:sz w:val="28"/>
          <w:szCs w:val="28"/>
        </w:rPr>
      </w:pPr>
      <w:r>
        <w:rPr>
          <w:rFonts w:hint="eastAsia" w:ascii="仿宋" w:hAnsi="仿宋" w:eastAsia="仿宋" w:cs="仿宋"/>
          <w:sz w:val="28"/>
          <w:szCs w:val="28"/>
        </w:rPr>
        <w:t>鼓励和支持引入专业地勘单位，招募储备一批地质灾害防治“青春志愿·守护生命”志愿者服务队伍，提高“空心村”结对帮扶水平，充实基层防灾力量。建议为专职监测员、志愿者购买意外保险。</w:t>
      </w:r>
    </w:p>
    <w:p>
      <w:pPr>
        <w:snapToGrid w:val="0"/>
        <w:ind w:firstLine="560"/>
        <w:rPr>
          <w:rFonts w:ascii="仿宋" w:hAnsi="仿宋" w:eastAsia="仿宋" w:cs="仿宋"/>
          <w:sz w:val="28"/>
          <w:szCs w:val="28"/>
        </w:rPr>
      </w:pPr>
      <w:r>
        <w:rPr>
          <w:rFonts w:hint="eastAsia" w:ascii="仿宋" w:hAnsi="仿宋" w:eastAsia="仿宋" w:cs="仿宋"/>
          <w:sz w:val="28"/>
          <w:szCs w:val="28"/>
        </w:rPr>
        <w:t>开展地质灾害宣传、培训和演练，每年至少开展一次，实现隐患点全覆盖。推动地质灾害防治知识宣传培训进企业、进工地、进农村、进社区、进家庭、进机关、进学校“七进”活动，提高宣传培训覆盖面。</w:t>
      </w:r>
    </w:p>
    <w:p>
      <w:pPr>
        <w:snapToGrid w:val="0"/>
        <w:ind w:firstLine="560"/>
        <w:rPr>
          <w:rFonts w:ascii="仿宋" w:hAnsi="仿宋" w:eastAsia="仿宋" w:cs="仿宋"/>
          <w:sz w:val="28"/>
          <w:szCs w:val="28"/>
        </w:rPr>
      </w:pPr>
      <w:r>
        <w:rPr>
          <w:rFonts w:hint="eastAsia" w:ascii="仿宋" w:hAnsi="仿宋" w:eastAsia="仿宋" w:cs="仿宋"/>
          <w:sz w:val="28"/>
          <w:szCs w:val="28"/>
        </w:rPr>
        <w:t>地质灾害易发区内各镇人民政府应通过集中培训和媒体宣传等手段，每年汛期前组织开展地质灾害防治知识的宣传培训。提高政府部门、企业和民众的地质环境保护和防灾减灾意识，进一步增强全社会抵御地质灾害的能力。提高防灾减灾的能力和水平，增强履行法律义务、承担法律职责的自觉性。在各个地质灾害隐患点的醒目处设立地质灾害警示标志，向社会公众公示地质灾害隐患地的危险性、潜在危害、易发期以及应采取的防灾避灾措施，提高当地群众的地质灾害防范意识。</w:t>
      </w:r>
    </w:p>
    <w:p>
      <w:pPr>
        <w:pStyle w:val="2"/>
        <w:snapToGrid w:val="0"/>
        <w:spacing w:line="360" w:lineRule="auto"/>
      </w:pPr>
    </w:p>
    <w:p>
      <w:pPr>
        <w:pStyle w:val="4"/>
        <w:snapToGrid w:val="0"/>
        <w:spacing w:before="0" w:after="0" w:line="360" w:lineRule="auto"/>
        <w:rPr>
          <w:rFonts w:cs="仿宋"/>
          <w:b/>
          <w:bCs/>
        </w:rPr>
      </w:pPr>
      <w:bookmarkStart w:id="500" w:name="_Toc17819"/>
      <w:r>
        <w:rPr>
          <w:rFonts w:hint="eastAsia" w:cs="仿宋"/>
          <w:b/>
          <w:bCs/>
        </w:rPr>
        <w:t xml:space="preserve"> </w:t>
      </w:r>
      <w:bookmarkStart w:id="501" w:name="_Toc21419"/>
      <w:bookmarkStart w:id="502" w:name="_Toc501"/>
      <w:r>
        <w:rPr>
          <w:rFonts w:hint="eastAsia" w:cs="仿宋"/>
          <w:b/>
          <w:bCs/>
        </w:rPr>
        <w:t>第六章 进度安排与防治效益评估</w:t>
      </w:r>
      <w:bookmarkEnd w:id="501"/>
      <w:bookmarkEnd w:id="502"/>
    </w:p>
    <w:p>
      <w:pPr>
        <w:pStyle w:val="5"/>
        <w:snapToGrid w:val="0"/>
        <w:spacing w:beforeLines="0"/>
        <w:jc w:val="center"/>
        <w:rPr>
          <w:rStyle w:val="95"/>
          <w:rFonts w:ascii="仿宋" w:hAnsi="仿宋" w:eastAsia="仿宋" w:cs="仿宋"/>
          <w:sz w:val="30"/>
        </w:rPr>
      </w:pPr>
      <w:bookmarkStart w:id="503" w:name="_Toc7386"/>
      <w:bookmarkStart w:id="504" w:name="_Toc24193"/>
      <w:bookmarkStart w:id="505" w:name="_Toc1634"/>
      <w:r>
        <w:rPr>
          <w:rStyle w:val="95"/>
          <w:rFonts w:hint="eastAsia" w:ascii="仿宋" w:hAnsi="仿宋" w:eastAsia="仿宋" w:cs="仿宋"/>
          <w:sz w:val="30"/>
        </w:rPr>
        <w:t>第一节、进度安排</w:t>
      </w:r>
      <w:bookmarkEnd w:id="503"/>
      <w:bookmarkEnd w:id="504"/>
      <w:bookmarkEnd w:id="505"/>
    </w:p>
    <w:p>
      <w:pPr>
        <w:pStyle w:val="6"/>
        <w:snapToGrid w:val="0"/>
        <w:spacing w:beforeLines="0" w:afterLines="0"/>
        <w:ind w:firstLine="562" w:firstLineChars="200"/>
        <w:rPr>
          <w:rFonts w:cs="仿宋"/>
          <w:szCs w:val="28"/>
        </w:rPr>
      </w:pPr>
      <w:r>
        <w:rPr>
          <w:rFonts w:hint="eastAsia" w:cs="仿宋"/>
          <w:szCs w:val="28"/>
        </w:rPr>
        <w:t>一、总体安排</w:t>
      </w:r>
    </w:p>
    <w:p>
      <w:pPr>
        <w:snapToGrid w:val="0"/>
        <w:ind w:firstLine="560"/>
        <w:rPr>
          <w:rFonts w:ascii="仿宋" w:hAnsi="仿宋" w:eastAsia="仿宋" w:cs="仿宋"/>
          <w:sz w:val="28"/>
          <w:szCs w:val="28"/>
        </w:rPr>
      </w:pPr>
      <w:r>
        <w:rPr>
          <w:rFonts w:hint="eastAsia" w:ascii="仿宋" w:hAnsi="仿宋" w:eastAsia="仿宋" w:cs="仿宋"/>
          <w:sz w:val="28"/>
          <w:szCs w:val="28"/>
        </w:rPr>
        <w:t>到2025年全面建成地质灾害调查评价体系、监测预警体系、防治体系和应急体系，地质灾害对经济社会和生态环境的影响显著减轻，地质灾害防治工作水平及防灾减灾能力和水平显著提升。分散的受地质灾害严重威胁的居民逐步得到搬迁，人口密集区以及重点建设区的地质灾害隐患点近快得到治理。最大限度降低地质灾害的危害与损失，使已查明受地质灾害威胁的人数最大限度的降低，安排原则如下：</w:t>
      </w:r>
    </w:p>
    <w:p>
      <w:pPr>
        <w:snapToGrid w:val="0"/>
        <w:ind w:firstLine="560"/>
        <w:rPr>
          <w:rFonts w:ascii="仿宋" w:hAnsi="仿宋" w:eastAsia="仿宋" w:cs="仿宋"/>
          <w:sz w:val="28"/>
          <w:szCs w:val="28"/>
        </w:rPr>
      </w:pPr>
      <w:r>
        <w:rPr>
          <w:rFonts w:hint="eastAsia" w:ascii="仿宋" w:hAnsi="仿宋" w:eastAsia="仿宋" w:cs="仿宋"/>
          <w:sz w:val="28"/>
          <w:szCs w:val="28"/>
        </w:rPr>
        <w:t>1、根据地质灾害发育程度及灾情险情危急程度，优先安排重点防治区、灾情险情重大的地质灾害防治项目。</w:t>
      </w:r>
    </w:p>
    <w:p>
      <w:pPr>
        <w:snapToGrid w:val="0"/>
        <w:ind w:firstLine="560"/>
        <w:rPr>
          <w:rFonts w:ascii="仿宋" w:hAnsi="仿宋" w:eastAsia="仿宋" w:cs="仿宋"/>
          <w:sz w:val="28"/>
          <w:szCs w:val="28"/>
        </w:rPr>
      </w:pPr>
      <w:bookmarkStart w:id="506" w:name="_Toc202026867"/>
      <w:r>
        <w:rPr>
          <w:rFonts w:hint="eastAsia" w:ascii="仿宋" w:hAnsi="仿宋" w:eastAsia="仿宋" w:cs="仿宋"/>
          <w:sz w:val="28"/>
          <w:szCs w:val="28"/>
        </w:rPr>
        <w:t>2、根据危害对象的重要程度，在对地质灾害隐患进行分类的基础上，按威胁县城、学校、集镇、人口相对集中区、大中型工矿企业和旅游景区的顺序</w:t>
      </w:r>
      <w:bookmarkEnd w:id="506"/>
      <w:r>
        <w:rPr>
          <w:rFonts w:hint="eastAsia" w:ascii="仿宋" w:hAnsi="仿宋" w:eastAsia="仿宋" w:cs="仿宋"/>
          <w:sz w:val="28"/>
          <w:szCs w:val="28"/>
        </w:rPr>
        <w:t>依次安排。</w:t>
      </w:r>
    </w:p>
    <w:p>
      <w:pPr>
        <w:snapToGrid w:val="0"/>
        <w:ind w:firstLine="560"/>
        <w:rPr>
          <w:rFonts w:ascii="仿宋" w:hAnsi="仿宋" w:eastAsia="仿宋" w:cs="仿宋"/>
          <w:sz w:val="28"/>
          <w:szCs w:val="28"/>
        </w:rPr>
      </w:pPr>
      <w:bookmarkStart w:id="507" w:name="_Toc202026868"/>
      <w:r>
        <w:rPr>
          <w:rFonts w:hint="eastAsia" w:ascii="仿宋" w:hAnsi="仿宋" w:eastAsia="仿宋" w:cs="仿宋"/>
          <w:sz w:val="28"/>
          <w:szCs w:val="28"/>
        </w:rPr>
        <w:t>3、根据经费筹措到位情况，在确定防治资金总量的基础上，分年度划分防治工作进度。</w:t>
      </w:r>
      <w:bookmarkEnd w:id="507"/>
    </w:p>
    <w:p>
      <w:pPr>
        <w:pStyle w:val="6"/>
        <w:snapToGrid w:val="0"/>
        <w:spacing w:beforeLines="0" w:afterLines="0"/>
        <w:ind w:firstLine="562" w:firstLineChars="200"/>
        <w:rPr>
          <w:rFonts w:cs="仿宋"/>
          <w:szCs w:val="28"/>
        </w:rPr>
      </w:pPr>
      <w:r>
        <w:rPr>
          <w:rFonts w:hint="eastAsia" w:cs="仿宋"/>
          <w:szCs w:val="28"/>
        </w:rPr>
        <w:t>二、年度工作安排</w:t>
      </w:r>
    </w:p>
    <w:p>
      <w:pPr>
        <w:snapToGrid w:val="0"/>
        <w:ind w:firstLine="560"/>
        <w:rPr>
          <w:rFonts w:ascii="仿宋" w:hAnsi="仿宋" w:eastAsia="仿宋" w:cs="仿宋"/>
          <w:sz w:val="28"/>
          <w:szCs w:val="28"/>
        </w:rPr>
      </w:pPr>
      <w:r>
        <w:rPr>
          <w:rFonts w:hint="eastAsia" w:ascii="仿宋" w:hAnsi="仿宋" w:eastAsia="仿宋" w:cs="仿宋"/>
          <w:sz w:val="28"/>
          <w:szCs w:val="28"/>
        </w:rPr>
        <w:t>2021年度工作安排</w:t>
      </w:r>
    </w:p>
    <w:p>
      <w:pPr>
        <w:snapToGrid w:val="0"/>
        <w:ind w:firstLine="560"/>
        <w:rPr>
          <w:rFonts w:ascii="仿宋" w:hAnsi="仿宋" w:eastAsia="仿宋" w:cs="仿宋"/>
          <w:sz w:val="28"/>
          <w:szCs w:val="28"/>
        </w:rPr>
      </w:pPr>
      <w:r>
        <w:rPr>
          <w:rFonts w:hint="eastAsia" w:ascii="仿宋" w:hAnsi="仿宋" w:eastAsia="仿宋" w:cs="仿宋"/>
          <w:sz w:val="28"/>
          <w:szCs w:val="28"/>
        </w:rPr>
        <w:t>（1）完成2021年度地质灾害年度巡排查任务。</w:t>
      </w:r>
    </w:p>
    <w:p>
      <w:pPr>
        <w:snapToGrid w:val="0"/>
        <w:ind w:firstLine="560"/>
        <w:rPr>
          <w:rFonts w:ascii="仿宋" w:hAnsi="仿宋" w:eastAsia="仿宋" w:cs="仿宋"/>
          <w:sz w:val="28"/>
          <w:szCs w:val="28"/>
        </w:rPr>
      </w:pPr>
      <w:r>
        <w:rPr>
          <w:rFonts w:hint="eastAsia" w:ascii="仿宋" w:hAnsi="仿宋" w:eastAsia="仿宋" w:cs="仿宋"/>
          <w:sz w:val="28"/>
          <w:szCs w:val="28"/>
        </w:rPr>
        <w:t>（2）对全区的地质灾害点进一步落实核实监测责任人，实行监测岗位责任制，逐级签定责任书。</w:t>
      </w:r>
    </w:p>
    <w:p>
      <w:pPr>
        <w:snapToGrid w:val="0"/>
        <w:ind w:firstLine="560"/>
        <w:rPr>
          <w:rFonts w:ascii="仿宋" w:hAnsi="仿宋" w:eastAsia="仿宋" w:cs="仿宋"/>
          <w:sz w:val="28"/>
          <w:szCs w:val="28"/>
        </w:rPr>
      </w:pPr>
      <w:r>
        <w:rPr>
          <w:rFonts w:hint="eastAsia" w:ascii="仿宋" w:hAnsi="仿宋" w:eastAsia="仿宋" w:cs="仿宋"/>
          <w:sz w:val="28"/>
          <w:szCs w:val="28"/>
        </w:rPr>
        <w:t>（3）组织全区地质灾害防治相关人员分批进行地质灾害防治知识的培训工作，为地质灾害的“群测群防”打下基础。</w:t>
      </w:r>
    </w:p>
    <w:p>
      <w:pPr>
        <w:snapToGrid w:val="0"/>
        <w:ind w:firstLine="560"/>
        <w:rPr>
          <w:rFonts w:ascii="仿宋" w:hAnsi="仿宋" w:eastAsia="仿宋" w:cs="仿宋"/>
          <w:sz w:val="28"/>
          <w:szCs w:val="28"/>
        </w:rPr>
      </w:pPr>
      <w:r>
        <w:rPr>
          <w:rFonts w:hint="eastAsia" w:ascii="仿宋" w:hAnsi="仿宋" w:eastAsia="仿宋" w:cs="仿宋"/>
          <w:sz w:val="28"/>
          <w:szCs w:val="28"/>
        </w:rPr>
        <w:t>（4）完成专职监测人员建设55名。</w:t>
      </w:r>
    </w:p>
    <w:p>
      <w:pPr>
        <w:snapToGrid w:val="0"/>
        <w:ind w:firstLine="560"/>
        <w:rPr>
          <w:rFonts w:ascii="仿宋" w:hAnsi="仿宋" w:eastAsia="仿宋" w:cs="仿宋"/>
          <w:sz w:val="28"/>
          <w:szCs w:val="28"/>
        </w:rPr>
      </w:pPr>
      <w:r>
        <w:rPr>
          <w:rFonts w:hint="eastAsia" w:ascii="仿宋" w:hAnsi="仿宋" w:eastAsia="仿宋" w:cs="仿宋"/>
          <w:sz w:val="28"/>
          <w:szCs w:val="28"/>
        </w:rPr>
        <w:t>（5）加大地质灾害勘查治理和搬迁避让的力度，完成2021年10处应急排危除险与6处工程治理。</w:t>
      </w:r>
    </w:p>
    <w:p>
      <w:pPr>
        <w:snapToGrid w:val="0"/>
        <w:ind w:firstLine="560"/>
        <w:rPr>
          <w:rFonts w:ascii="仿宋" w:hAnsi="仿宋" w:eastAsia="仿宋" w:cs="仿宋"/>
          <w:sz w:val="28"/>
          <w:szCs w:val="28"/>
        </w:rPr>
      </w:pPr>
      <w:r>
        <w:rPr>
          <w:rFonts w:hint="eastAsia" w:ascii="仿宋" w:hAnsi="仿宋" w:eastAsia="仿宋" w:cs="仿宋"/>
          <w:sz w:val="28"/>
          <w:szCs w:val="28"/>
        </w:rPr>
        <w:t>（6）完成全区1:50000地质灾害风险调查评价。</w:t>
      </w:r>
    </w:p>
    <w:p>
      <w:pPr>
        <w:snapToGrid w:val="0"/>
        <w:ind w:firstLine="560"/>
        <w:rPr>
          <w:rFonts w:ascii="仿宋" w:hAnsi="仿宋" w:eastAsia="仿宋" w:cs="仿宋"/>
          <w:sz w:val="28"/>
          <w:szCs w:val="28"/>
        </w:rPr>
      </w:pPr>
      <w:r>
        <w:rPr>
          <w:rFonts w:hint="eastAsia" w:ascii="仿宋" w:hAnsi="仿宋" w:eastAsia="仿宋" w:cs="仿宋"/>
          <w:sz w:val="28"/>
          <w:szCs w:val="28"/>
        </w:rPr>
        <w:t>2022年度工作安排</w:t>
      </w:r>
      <w:bookmarkStart w:id="508" w:name="_Toc322436880"/>
      <w:bookmarkStart w:id="509" w:name="_Toc327438395"/>
      <w:bookmarkStart w:id="510" w:name="_Toc322436223"/>
      <w:bookmarkStart w:id="511" w:name="_Toc327438297"/>
    </w:p>
    <w:p>
      <w:pPr>
        <w:snapToGrid w:val="0"/>
        <w:ind w:firstLine="560"/>
        <w:rPr>
          <w:rFonts w:ascii="仿宋" w:hAnsi="仿宋" w:eastAsia="仿宋" w:cs="仿宋"/>
          <w:sz w:val="28"/>
          <w:szCs w:val="28"/>
        </w:rPr>
      </w:pPr>
      <w:r>
        <w:rPr>
          <w:rFonts w:hint="eastAsia" w:ascii="仿宋" w:hAnsi="仿宋" w:eastAsia="仿宋" w:cs="仿宋"/>
          <w:sz w:val="28"/>
          <w:szCs w:val="28"/>
        </w:rPr>
        <w:t>1、完成该年度地质灾害动态巡排查任务。</w:t>
      </w:r>
    </w:p>
    <w:p>
      <w:pPr>
        <w:snapToGrid w:val="0"/>
        <w:ind w:firstLine="560"/>
        <w:rPr>
          <w:rFonts w:ascii="仿宋" w:hAnsi="仿宋" w:eastAsia="仿宋" w:cs="仿宋"/>
          <w:sz w:val="28"/>
          <w:szCs w:val="28"/>
        </w:rPr>
      </w:pPr>
      <w:r>
        <w:rPr>
          <w:rFonts w:hint="eastAsia" w:ascii="仿宋" w:hAnsi="仿宋" w:eastAsia="仿宋" w:cs="仿宋"/>
          <w:sz w:val="28"/>
          <w:szCs w:val="28"/>
        </w:rPr>
        <w:t>2、对全区的地质灾害点进一步落实核实监测责任人，实行监测岗位责任制，逐级签定责任书，初步形成监测骨干网络。</w:t>
      </w:r>
    </w:p>
    <w:p>
      <w:pPr>
        <w:snapToGrid w:val="0"/>
        <w:ind w:firstLine="560"/>
        <w:rPr>
          <w:rFonts w:ascii="仿宋" w:hAnsi="仿宋" w:eastAsia="仿宋" w:cs="仿宋"/>
          <w:sz w:val="28"/>
          <w:szCs w:val="28"/>
        </w:rPr>
      </w:pPr>
      <w:r>
        <w:rPr>
          <w:rFonts w:hint="eastAsia" w:ascii="仿宋" w:hAnsi="仿宋" w:eastAsia="仿宋" w:cs="仿宋"/>
          <w:sz w:val="28"/>
          <w:szCs w:val="28"/>
        </w:rPr>
        <w:t>3、组织全区地质灾害防治相关人员分批进行地质灾害防治知识的培训工作，为地质灾害的“群测群防”打下基础。</w:t>
      </w:r>
    </w:p>
    <w:p>
      <w:pPr>
        <w:snapToGrid w:val="0"/>
        <w:ind w:firstLine="560"/>
        <w:rPr>
          <w:rFonts w:ascii="仿宋" w:hAnsi="仿宋" w:eastAsia="仿宋" w:cs="仿宋"/>
          <w:sz w:val="28"/>
          <w:szCs w:val="28"/>
        </w:rPr>
      </w:pPr>
      <w:r>
        <w:rPr>
          <w:rFonts w:hint="eastAsia" w:ascii="仿宋" w:hAnsi="仿宋" w:eastAsia="仿宋" w:cs="仿宋"/>
          <w:sz w:val="28"/>
          <w:szCs w:val="28"/>
        </w:rPr>
        <w:t>4、完善突发性地质灾害预报预警系统，健全完善协调统一的预报预警机制和管理制度；完善地质灾害信息化建设，逐步建成一个较成熟高效的地质灾害信息管理系统。</w:t>
      </w:r>
    </w:p>
    <w:p>
      <w:pPr>
        <w:snapToGrid w:val="0"/>
        <w:ind w:firstLine="560"/>
        <w:rPr>
          <w:rFonts w:ascii="仿宋" w:hAnsi="仿宋" w:eastAsia="仿宋" w:cs="仿宋"/>
          <w:sz w:val="28"/>
          <w:szCs w:val="28"/>
        </w:rPr>
      </w:pPr>
      <w:r>
        <w:rPr>
          <w:rFonts w:hint="eastAsia" w:ascii="仿宋" w:hAnsi="仿宋" w:eastAsia="仿宋" w:cs="仿宋"/>
          <w:sz w:val="28"/>
          <w:szCs w:val="28"/>
        </w:rPr>
        <w:t>5、加大地质灾害勘查治理和搬迁避让的力度，完成18户受威胁农户搬迁避让工作。</w:t>
      </w:r>
    </w:p>
    <w:p>
      <w:pPr>
        <w:snapToGrid w:val="0"/>
        <w:ind w:firstLine="560"/>
        <w:rPr>
          <w:rFonts w:ascii="仿宋" w:hAnsi="仿宋" w:eastAsia="仿宋" w:cs="仿宋"/>
          <w:sz w:val="28"/>
          <w:szCs w:val="28"/>
        </w:rPr>
      </w:pPr>
      <w:r>
        <w:rPr>
          <w:rFonts w:hint="eastAsia" w:ascii="仿宋" w:hAnsi="仿宋" w:eastAsia="仿宋" w:cs="仿宋"/>
          <w:sz w:val="28"/>
          <w:szCs w:val="28"/>
        </w:rPr>
        <w:t>6、完成该年度区级科普宣传、防灾避险应急演练，完善应急物资储备。</w:t>
      </w:r>
    </w:p>
    <w:p>
      <w:pPr>
        <w:snapToGrid w:val="0"/>
        <w:ind w:firstLine="560"/>
        <w:rPr>
          <w:rFonts w:ascii="仿宋" w:hAnsi="仿宋" w:eastAsia="仿宋" w:cs="仿宋"/>
          <w:sz w:val="28"/>
          <w:szCs w:val="28"/>
        </w:rPr>
      </w:pPr>
      <w:r>
        <w:rPr>
          <w:rFonts w:hint="eastAsia" w:ascii="仿宋" w:hAnsi="仿宋" w:eastAsia="仿宋" w:cs="仿宋"/>
          <w:sz w:val="28"/>
          <w:szCs w:val="28"/>
        </w:rPr>
        <w:t>2023年度工作安排</w:t>
      </w:r>
    </w:p>
    <w:p>
      <w:pPr>
        <w:snapToGrid w:val="0"/>
        <w:ind w:firstLine="560"/>
        <w:rPr>
          <w:rFonts w:ascii="仿宋" w:hAnsi="仿宋" w:eastAsia="仿宋" w:cs="仿宋"/>
          <w:sz w:val="28"/>
          <w:szCs w:val="28"/>
        </w:rPr>
      </w:pPr>
      <w:r>
        <w:rPr>
          <w:rFonts w:hint="eastAsia" w:ascii="仿宋" w:hAnsi="仿宋" w:eastAsia="仿宋" w:cs="仿宋"/>
          <w:sz w:val="28"/>
          <w:szCs w:val="28"/>
        </w:rPr>
        <w:t>完成区年度地质灾害动态巡排查；</w:t>
      </w:r>
    </w:p>
    <w:p>
      <w:pPr>
        <w:snapToGrid w:val="0"/>
        <w:ind w:firstLine="560"/>
        <w:rPr>
          <w:rFonts w:ascii="仿宋" w:hAnsi="仿宋" w:eastAsia="仿宋" w:cs="仿宋"/>
          <w:sz w:val="28"/>
          <w:szCs w:val="28"/>
        </w:rPr>
      </w:pPr>
      <w:r>
        <w:rPr>
          <w:rFonts w:hint="eastAsia" w:ascii="仿宋" w:hAnsi="仿宋" w:eastAsia="仿宋" w:cs="仿宋"/>
          <w:sz w:val="28"/>
          <w:szCs w:val="28"/>
        </w:rPr>
        <w:t>完成10处应急排危除险，6处现有地灾点核实销号。</w:t>
      </w:r>
    </w:p>
    <w:p>
      <w:pPr>
        <w:snapToGrid w:val="0"/>
        <w:ind w:firstLine="560"/>
        <w:rPr>
          <w:rFonts w:ascii="仿宋" w:hAnsi="仿宋" w:eastAsia="仿宋" w:cs="仿宋"/>
          <w:sz w:val="28"/>
          <w:szCs w:val="28"/>
        </w:rPr>
      </w:pPr>
      <w:r>
        <w:rPr>
          <w:rFonts w:hint="eastAsia" w:ascii="仿宋" w:hAnsi="仿宋" w:eastAsia="仿宋" w:cs="仿宋"/>
          <w:sz w:val="28"/>
          <w:szCs w:val="28"/>
        </w:rPr>
        <w:t>2024年度工作安排</w:t>
      </w:r>
      <w:bookmarkEnd w:id="508"/>
      <w:bookmarkEnd w:id="509"/>
      <w:bookmarkEnd w:id="510"/>
      <w:bookmarkEnd w:id="511"/>
    </w:p>
    <w:p>
      <w:pPr>
        <w:snapToGrid w:val="0"/>
        <w:ind w:firstLine="560"/>
        <w:rPr>
          <w:rFonts w:ascii="仿宋" w:hAnsi="仿宋" w:eastAsia="仿宋" w:cs="仿宋"/>
          <w:sz w:val="28"/>
          <w:szCs w:val="28"/>
        </w:rPr>
      </w:pPr>
      <w:r>
        <w:rPr>
          <w:rFonts w:hint="eastAsia" w:ascii="仿宋" w:hAnsi="仿宋" w:eastAsia="仿宋" w:cs="仿宋"/>
          <w:sz w:val="28"/>
          <w:szCs w:val="28"/>
        </w:rPr>
        <w:t>1、完成全区年度地质灾害动态巡排查。</w:t>
      </w:r>
    </w:p>
    <w:p>
      <w:pPr>
        <w:snapToGrid w:val="0"/>
        <w:ind w:firstLine="560"/>
        <w:rPr>
          <w:rFonts w:ascii="仿宋" w:hAnsi="仿宋" w:eastAsia="仿宋" w:cs="仿宋"/>
          <w:sz w:val="28"/>
          <w:szCs w:val="28"/>
        </w:rPr>
      </w:pPr>
      <w:r>
        <w:rPr>
          <w:rFonts w:hint="eastAsia" w:ascii="仿宋" w:hAnsi="仿宋" w:eastAsia="仿宋" w:cs="仿宋"/>
          <w:sz w:val="28"/>
          <w:szCs w:val="28"/>
        </w:rPr>
        <w:t>2、完成年度区级科普宣传、防灾避险应急演练。</w:t>
      </w:r>
    </w:p>
    <w:p>
      <w:pPr>
        <w:snapToGrid w:val="0"/>
        <w:ind w:firstLine="560"/>
        <w:rPr>
          <w:rFonts w:ascii="仿宋" w:hAnsi="仿宋" w:eastAsia="仿宋" w:cs="仿宋"/>
          <w:sz w:val="28"/>
          <w:szCs w:val="28"/>
        </w:rPr>
      </w:pPr>
      <w:r>
        <w:rPr>
          <w:rFonts w:hint="eastAsia" w:ascii="仿宋" w:hAnsi="仿宋" w:eastAsia="仿宋" w:cs="仿宋"/>
          <w:sz w:val="28"/>
          <w:szCs w:val="28"/>
        </w:rPr>
        <w:t>2、1处工程治理，2处地灾点的2户受威胁农户的避险搬迁工作。</w:t>
      </w:r>
    </w:p>
    <w:p>
      <w:pPr>
        <w:snapToGrid w:val="0"/>
        <w:ind w:firstLine="560"/>
        <w:rPr>
          <w:rFonts w:ascii="仿宋" w:hAnsi="仿宋" w:eastAsia="仿宋" w:cs="仿宋"/>
          <w:sz w:val="28"/>
          <w:szCs w:val="28"/>
        </w:rPr>
      </w:pPr>
      <w:r>
        <w:rPr>
          <w:rFonts w:hint="eastAsia" w:ascii="仿宋" w:hAnsi="仿宋" w:eastAsia="仿宋" w:cs="仿宋"/>
          <w:sz w:val="28"/>
          <w:szCs w:val="28"/>
        </w:rPr>
        <w:t>2025年度工作安排</w:t>
      </w:r>
    </w:p>
    <w:p>
      <w:pPr>
        <w:snapToGrid w:val="0"/>
        <w:ind w:firstLine="560"/>
        <w:rPr>
          <w:rFonts w:ascii="仿宋" w:hAnsi="仿宋" w:eastAsia="仿宋" w:cs="仿宋"/>
          <w:sz w:val="28"/>
          <w:szCs w:val="28"/>
        </w:rPr>
      </w:pPr>
      <w:r>
        <w:rPr>
          <w:rFonts w:hint="eastAsia" w:ascii="仿宋" w:hAnsi="仿宋" w:eastAsia="仿宋" w:cs="仿宋"/>
          <w:sz w:val="28"/>
          <w:szCs w:val="28"/>
        </w:rPr>
        <w:t>1、完成全区年度地质灾害动态巡排查。</w:t>
      </w:r>
    </w:p>
    <w:p>
      <w:pPr>
        <w:snapToGrid w:val="0"/>
        <w:ind w:firstLine="560"/>
        <w:rPr>
          <w:rFonts w:ascii="仿宋" w:hAnsi="仿宋" w:eastAsia="仿宋" w:cs="仿宋"/>
          <w:sz w:val="28"/>
          <w:szCs w:val="28"/>
        </w:rPr>
      </w:pPr>
      <w:r>
        <w:rPr>
          <w:rFonts w:hint="eastAsia" w:ascii="仿宋" w:hAnsi="仿宋" w:eastAsia="仿宋" w:cs="仿宋"/>
          <w:sz w:val="28"/>
          <w:szCs w:val="28"/>
        </w:rPr>
        <w:t>2、完成年度区级科普宣传、防灾避险应急演练。</w:t>
      </w:r>
    </w:p>
    <w:p>
      <w:pPr>
        <w:snapToGrid w:val="0"/>
        <w:ind w:firstLine="560"/>
        <w:rPr>
          <w:rFonts w:ascii="仿宋" w:hAnsi="仿宋" w:eastAsia="仿宋" w:cs="仿宋"/>
          <w:sz w:val="28"/>
          <w:szCs w:val="28"/>
        </w:rPr>
      </w:pPr>
      <w:r>
        <w:rPr>
          <w:rFonts w:hint="eastAsia" w:ascii="仿宋" w:hAnsi="仿宋" w:eastAsia="仿宋" w:cs="仿宋"/>
          <w:sz w:val="28"/>
          <w:szCs w:val="28"/>
        </w:rPr>
        <w:t>通过上述工作，使突发性地质灾害发生率进一步降低，防治工作基本做到可预测和有计划地进行，使已查明受地质灾害威胁的人数减少60％，经济损失进一步降低。</w:t>
      </w:r>
    </w:p>
    <w:p>
      <w:pPr>
        <w:pStyle w:val="5"/>
        <w:snapToGrid w:val="0"/>
        <w:spacing w:beforeLines="0"/>
        <w:jc w:val="center"/>
        <w:rPr>
          <w:rStyle w:val="95"/>
          <w:rFonts w:ascii="仿宋" w:hAnsi="仿宋" w:eastAsia="仿宋" w:cs="仿宋"/>
          <w:sz w:val="30"/>
        </w:rPr>
      </w:pPr>
      <w:bookmarkStart w:id="512" w:name="_Toc14648"/>
      <w:bookmarkStart w:id="513" w:name="_Toc16689"/>
      <w:bookmarkStart w:id="514" w:name="_Toc1014"/>
      <w:r>
        <w:rPr>
          <w:rStyle w:val="95"/>
          <w:rFonts w:hint="eastAsia" w:ascii="仿宋" w:hAnsi="仿宋" w:eastAsia="仿宋" w:cs="仿宋"/>
          <w:sz w:val="30"/>
        </w:rPr>
        <w:t>第二节、防治费用估算</w:t>
      </w:r>
      <w:bookmarkEnd w:id="512"/>
      <w:bookmarkEnd w:id="513"/>
      <w:bookmarkEnd w:id="514"/>
    </w:p>
    <w:p>
      <w:pPr>
        <w:pStyle w:val="6"/>
        <w:snapToGrid w:val="0"/>
        <w:spacing w:beforeLines="0" w:afterLines="0"/>
        <w:ind w:firstLine="562" w:firstLineChars="200"/>
        <w:rPr>
          <w:rFonts w:cs="仿宋"/>
          <w:szCs w:val="28"/>
        </w:rPr>
      </w:pPr>
      <w:r>
        <w:rPr>
          <w:rFonts w:hint="eastAsia" w:cs="仿宋"/>
          <w:szCs w:val="28"/>
        </w:rPr>
        <w:t>一、估算依据</w:t>
      </w:r>
    </w:p>
    <w:p>
      <w:pPr>
        <w:snapToGrid w:val="0"/>
        <w:ind w:firstLine="560"/>
        <w:rPr>
          <w:rFonts w:ascii="仿宋" w:hAnsi="仿宋" w:eastAsia="仿宋" w:cs="仿宋"/>
          <w:sz w:val="28"/>
          <w:szCs w:val="28"/>
        </w:rPr>
      </w:pPr>
      <w:r>
        <w:rPr>
          <w:rFonts w:hint="eastAsia" w:ascii="仿宋" w:hAnsi="仿宋" w:eastAsia="仿宋" w:cs="仿宋"/>
          <w:sz w:val="28"/>
          <w:szCs w:val="28"/>
        </w:rPr>
        <w:t>本次规划经费的估算依据为：</w:t>
      </w:r>
    </w:p>
    <w:p>
      <w:pPr>
        <w:snapToGrid w:val="0"/>
        <w:ind w:firstLine="560"/>
        <w:rPr>
          <w:rFonts w:ascii="仿宋" w:hAnsi="仿宋" w:eastAsia="仿宋" w:cs="仿宋"/>
          <w:sz w:val="28"/>
          <w:szCs w:val="28"/>
        </w:rPr>
      </w:pPr>
      <w:r>
        <w:rPr>
          <w:rFonts w:hint="eastAsia" w:ascii="仿宋" w:hAnsi="仿宋" w:eastAsia="仿宋" w:cs="仿宋"/>
          <w:sz w:val="28"/>
          <w:szCs w:val="28"/>
        </w:rPr>
        <w:t>（一）《摄影测量与遥感收费标准》（国家测绘局，2002年1月）；</w:t>
      </w:r>
    </w:p>
    <w:p>
      <w:pPr>
        <w:snapToGrid w:val="0"/>
        <w:ind w:firstLine="560"/>
        <w:rPr>
          <w:rFonts w:ascii="仿宋" w:hAnsi="仿宋" w:eastAsia="仿宋" w:cs="仿宋"/>
          <w:sz w:val="28"/>
          <w:szCs w:val="28"/>
        </w:rPr>
      </w:pPr>
      <w:r>
        <w:rPr>
          <w:rFonts w:hint="eastAsia" w:ascii="仿宋" w:hAnsi="仿宋" w:eastAsia="仿宋" w:cs="仿宋"/>
          <w:sz w:val="28"/>
          <w:szCs w:val="28"/>
        </w:rPr>
        <w:t>（二）《地质调查项目设计预算暂行标准》（中国地质调查局，2009年）；</w:t>
      </w:r>
    </w:p>
    <w:p>
      <w:pPr>
        <w:snapToGrid w:val="0"/>
        <w:ind w:firstLine="560"/>
        <w:rPr>
          <w:rFonts w:ascii="仿宋" w:hAnsi="仿宋" w:eastAsia="仿宋" w:cs="仿宋"/>
          <w:sz w:val="28"/>
          <w:szCs w:val="28"/>
        </w:rPr>
      </w:pPr>
      <w:r>
        <w:rPr>
          <w:rFonts w:hint="eastAsia" w:ascii="仿宋" w:hAnsi="仿宋" w:eastAsia="仿宋" w:cs="仿宋"/>
          <w:sz w:val="28"/>
          <w:szCs w:val="28"/>
        </w:rPr>
        <w:t>（三）《四川省地质灾害治理工程概（预）算标准（修订）》（川自然资发【2018】9号）；</w:t>
      </w:r>
    </w:p>
    <w:p>
      <w:pPr>
        <w:snapToGrid w:val="0"/>
        <w:ind w:firstLine="560"/>
        <w:rPr>
          <w:rFonts w:ascii="仿宋" w:hAnsi="仿宋" w:eastAsia="仿宋" w:cs="仿宋"/>
          <w:sz w:val="28"/>
          <w:szCs w:val="28"/>
        </w:rPr>
      </w:pPr>
      <w:r>
        <w:rPr>
          <w:rFonts w:hint="eastAsia" w:ascii="仿宋" w:hAnsi="仿宋" w:eastAsia="仿宋" w:cs="仿宋"/>
          <w:sz w:val="28"/>
          <w:szCs w:val="28"/>
        </w:rPr>
        <w:t>（四）《四川省建筑工程计价定额》（SGD1-2014）；</w:t>
      </w:r>
    </w:p>
    <w:p>
      <w:pPr>
        <w:snapToGrid w:val="0"/>
        <w:ind w:firstLine="560"/>
        <w:rPr>
          <w:rFonts w:ascii="仿宋" w:hAnsi="仿宋" w:eastAsia="仿宋" w:cs="仿宋"/>
          <w:sz w:val="28"/>
          <w:szCs w:val="28"/>
        </w:rPr>
      </w:pPr>
      <w:r>
        <w:rPr>
          <w:rFonts w:hint="eastAsia" w:ascii="仿宋" w:hAnsi="仿宋" w:eastAsia="仿宋" w:cs="仿宋"/>
          <w:sz w:val="28"/>
          <w:szCs w:val="28"/>
        </w:rPr>
        <w:t>（五）《水利工程设计概算编制规定》（水总2014）429号文；</w:t>
      </w:r>
    </w:p>
    <w:p>
      <w:pPr>
        <w:snapToGrid w:val="0"/>
        <w:ind w:firstLine="560"/>
        <w:rPr>
          <w:rFonts w:ascii="仿宋" w:hAnsi="仿宋" w:eastAsia="仿宋" w:cs="仿宋"/>
          <w:sz w:val="28"/>
          <w:szCs w:val="28"/>
        </w:rPr>
      </w:pPr>
      <w:r>
        <w:rPr>
          <w:rFonts w:hint="eastAsia" w:ascii="仿宋" w:hAnsi="仿宋" w:eastAsia="仿宋" w:cs="仿宋"/>
          <w:sz w:val="28"/>
          <w:szCs w:val="28"/>
        </w:rPr>
        <w:t>（六）《建设工程建立与相关服务收费管理规定》（发改价格〔2007〕670号）。</w:t>
      </w:r>
    </w:p>
    <w:p>
      <w:pPr>
        <w:snapToGrid w:val="0"/>
        <w:ind w:firstLine="560"/>
        <w:rPr>
          <w:rFonts w:ascii="仿宋" w:hAnsi="仿宋" w:eastAsia="仿宋" w:cs="仿宋"/>
          <w:sz w:val="28"/>
          <w:szCs w:val="28"/>
        </w:rPr>
      </w:pPr>
      <w:r>
        <w:rPr>
          <w:rFonts w:hint="eastAsia" w:ascii="仿宋" w:hAnsi="仿宋" w:eastAsia="仿宋" w:cs="仿宋"/>
          <w:sz w:val="28"/>
          <w:szCs w:val="28"/>
        </w:rPr>
        <w:t>（七）《建设工程工程量清单计价规范》（GB50500-2013）</w:t>
      </w:r>
    </w:p>
    <w:p>
      <w:pPr>
        <w:snapToGrid w:val="0"/>
        <w:ind w:firstLine="560"/>
        <w:rPr>
          <w:rFonts w:ascii="仿宋" w:hAnsi="仿宋" w:eastAsia="仿宋" w:cs="仿宋"/>
          <w:sz w:val="28"/>
          <w:szCs w:val="28"/>
        </w:rPr>
      </w:pPr>
      <w:r>
        <w:rPr>
          <w:rFonts w:hint="eastAsia" w:ascii="仿宋" w:hAnsi="仿宋" w:eastAsia="仿宋" w:cs="仿宋"/>
          <w:sz w:val="28"/>
          <w:szCs w:val="28"/>
        </w:rPr>
        <w:t>在上述定额资料基础上，结合峨五通桥区实际情况综合计价</w:t>
      </w:r>
    </w:p>
    <w:p>
      <w:pPr>
        <w:pStyle w:val="6"/>
        <w:snapToGrid w:val="0"/>
        <w:spacing w:beforeLines="0" w:afterLines="0"/>
        <w:ind w:firstLine="562" w:firstLineChars="200"/>
        <w:rPr>
          <w:rFonts w:cs="仿宋"/>
          <w:szCs w:val="28"/>
        </w:rPr>
      </w:pPr>
      <w:r>
        <w:rPr>
          <w:rFonts w:hint="eastAsia" w:cs="仿宋"/>
          <w:szCs w:val="28"/>
        </w:rPr>
        <w:t>二、地质灾害防治经费估算</w:t>
      </w:r>
    </w:p>
    <w:p>
      <w:pPr>
        <w:snapToGrid w:val="0"/>
        <w:ind w:firstLine="560"/>
        <w:rPr>
          <w:rFonts w:ascii="仿宋" w:hAnsi="仿宋" w:eastAsia="仿宋" w:cs="仿宋"/>
          <w:sz w:val="28"/>
          <w:szCs w:val="28"/>
        </w:rPr>
      </w:pPr>
      <w:bookmarkStart w:id="515" w:name="_Toc468259852"/>
      <w:bookmarkStart w:id="516" w:name="_Toc468260318"/>
      <w:bookmarkStart w:id="517" w:name="_Toc468221706"/>
      <w:bookmarkStart w:id="518" w:name="_Toc468259714"/>
      <w:r>
        <w:rPr>
          <w:rFonts w:hint="eastAsia" w:ascii="仿宋" w:hAnsi="仿宋" w:eastAsia="仿宋" w:cs="仿宋"/>
          <w:sz w:val="28"/>
          <w:szCs w:val="28"/>
        </w:rPr>
        <w:t>“十四五”期间地质灾害防治投资估算经费为1626万元。其中：</w:t>
      </w:r>
    </w:p>
    <w:p>
      <w:pPr>
        <w:snapToGrid w:val="0"/>
        <w:ind w:firstLine="560"/>
        <w:rPr>
          <w:rFonts w:ascii="仿宋" w:hAnsi="仿宋" w:eastAsia="仿宋" w:cs="仿宋"/>
          <w:sz w:val="28"/>
          <w:szCs w:val="28"/>
        </w:rPr>
      </w:pPr>
      <w:r>
        <w:rPr>
          <w:rFonts w:hint="eastAsia" w:ascii="仿宋" w:hAnsi="仿宋" w:eastAsia="仿宋" w:cs="仿宋"/>
          <w:sz w:val="28"/>
          <w:szCs w:val="28"/>
        </w:rPr>
        <w:t>（1）、地质灾害调查评价80万元；</w:t>
      </w:r>
    </w:p>
    <w:p>
      <w:pPr>
        <w:snapToGrid w:val="0"/>
        <w:ind w:firstLine="560"/>
        <w:rPr>
          <w:rFonts w:ascii="仿宋" w:hAnsi="仿宋" w:eastAsia="仿宋" w:cs="仿宋"/>
          <w:sz w:val="28"/>
          <w:szCs w:val="28"/>
        </w:rPr>
      </w:pPr>
      <w:r>
        <w:rPr>
          <w:rFonts w:hint="eastAsia" w:ascii="仿宋" w:hAnsi="仿宋" w:eastAsia="仿宋" w:cs="仿宋"/>
          <w:sz w:val="28"/>
          <w:szCs w:val="28"/>
        </w:rPr>
        <w:t>（2）、地质灾害督导排查技术支撑150万元；</w:t>
      </w:r>
    </w:p>
    <w:p>
      <w:pPr>
        <w:snapToGrid w:val="0"/>
        <w:ind w:firstLine="560"/>
        <w:rPr>
          <w:rFonts w:ascii="仿宋" w:hAnsi="仿宋" w:eastAsia="仿宋" w:cs="仿宋"/>
          <w:sz w:val="28"/>
          <w:szCs w:val="28"/>
        </w:rPr>
      </w:pPr>
      <w:r>
        <w:rPr>
          <w:rFonts w:hint="eastAsia" w:ascii="仿宋" w:hAnsi="仿宋" w:eastAsia="仿宋" w:cs="仿宋"/>
          <w:sz w:val="28"/>
          <w:szCs w:val="28"/>
        </w:rPr>
        <w:t>（3）、地质灾害监测预警61.92万元；</w:t>
      </w:r>
    </w:p>
    <w:p>
      <w:pPr>
        <w:snapToGrid w:val="0"/>
        <w:ind w:firstLine="560"/>
        <w:rPr>
          <w:rFonts w:ascii="仿宋" w:hAnsi="仿宋" w:eastAsia="仿宋" w:cs="仿宋"/>
          <w:sz w:val="28"/>
          <w:szCs w:val="28"/>
        </w:rPr>
      </w:pPr>
      <w:r>
        <w:rPr>
          <w:rFonts w:hint="eastAsia" w:ascii="仿宋" w:hAnsi="仿宋" w:eastAsia="仿宋" w:cs="仿宋"/>
          <w:sz w:val="28"/>
          <w:szCs w:val="28"/>
        </w:rPr>
        <w:t>（4）、地质灾害排危除险387万元；</w:t>
      </w:r>
    </w:p>
    <w:p>
      <w:pPr>
        <w:snapToGrid w:val="0"/>
        <w:ind w:firstLine="560"/>
        <w:rPr>
          <w:rFonts w:ascii="仿宋" w:hAnsi="仿宋" w:eastAsia="仿宋" w:cs="仿宋"/>
          <w:sz w:val="28"/>
          <w:szCs w:val="28"/>
        </w:rPr>
      </w:pPr>
      <w:r>
        <w:rPr>
          <w:rFonts w:hint="eastAsia" w:ascii="仿宋" w:hAnsi="仿宋" w:eastAsia="仿宋" w:cs="仿宋"/>
          <w:sz w:val="28"/>
          <w:szCs w:val="28"/>
        </w:rPr>
        <w:t>（5）、地质灾害工程治理562万元；</w:t>
      </w:r>
    </w:p>
    <w:p>
      <w:pPr>
        <w:snapToGrid w:val="0"/>
        <w:ind w:firstLine="560"/>
        <w:rPr>
          <w:rFonts w:ascii="仿宋" w:hAnsi="仿宋" w:eastAsia="仿宋" w:cs="仿宋"/>
          <w:sz w:val="28"/>
          <w:szCs w:val="28"/>
        </w:rPr>
      </w:pPr>
      <w:r>
        <w:rPr>
          <w:rFonts w:hint="eastAsia" w:ascii="仿宋" w:hAnsi="仿宋" w:eastAsia="仿宋" w:cs="仿宋"/>
          <w:sz w:val="28"/>
          <w:szCs w:val="28"/>
        </w:rPr>
        <w:t>（6）、地质灾害避险搬迁70万元；</w:t>
      </w:r>
    </w:p>
    <w:p>
      <w:pPr>
        <w:snapToGrid w:val="0"/>
        <w:ind w:firstLine="560"/>
        <w:rPr>
          <w:rFonts w:ascii="仿宋" w:hAnsi="仿宋" w:eastAsia="仿宋" w:cs="仿宋"/>
          <w:sz w:val="28"/>
          <w:szCs w:val="28"/>
        </w:rPr>
      </w:pPr>
      <w:r>
        <w:rPr>
          <w:rFonts w:hint="eastAsia" w:ascii="仿宋" w:hAnsi="仿宋" w:eastAsia="仿宋" w:cs="仿宋"/>
          <w:sz w:val="28"/>
          <w:szCs w:val="28"/>
        </w:rPr>
        <w:t>（7）、地质灾害应急体系建设315万元；</w:t>
      </w:r>
    </w:p>
    <w:p>
      <w:pPr>
        <w:snapToGrid w:val="0"/>
        <w:ind w:firstLine="562"/>
        <w:rPr>
          <w:rFonts w:ascii="仿宋" w:hAnsi="仿宋" w:eastAsia="仿宋" w:cs="仿宋"/>
          <w:b/>
          <w:bCs/>
          <w:sz w:val="28"/>
          <w:szCs w:val="28"/>
        </w:rPr>
      </w:pPr>
      <w:r>
        <w:rPr>
          <w:rFonts w:hint="eastAsia" w:ascii="仿宋" w:hAnsi="仿宋" w:eastAsia="仿宋" w:cs="仿宋"/>
          <w:b/>
          <w:bCs/>
          <w:sz w:val="28"/>
          <w:szCs w:val="28"/>
        </w:rPr>
        <w:t>1、监测预警体系</w:t>
      </w:r>
      <w:bookmarkEnd w:id="515"/>
      <w:bookmarkEnd w:id="516"/>
      <w:bookmarkEnd w:id="517"/>
      <w:bookmarkEnd w:id="518"/>
    </w:p>
    <w:p>
      <w:pPr>
        <w:snapToGrid w:val="0"/>
        <w:ind w:firstLine="560"/>
        <w:rPr>
          <w:rFonts w:ascii="仿宋" w:hAnsi="仿宋" w:eastAsia="仿宋" w:cs="仿宋"/>
          <w:sz w:val="28"/>
          <w:szCs w:val="28"/>
        </w:rPr>
      </w:pPr>
      <w:r>
        <w:rPr>
          <w:rFonts w:hint="eastAsia" w:ascii="仿宋" w:hAnsi="仿宋" w:eastAsia="仿宋" w:cs="仿宋"/>
          <w:sz w:val="28"/>
          <w:szCs w:val="28"/>
        </w:rPr>
        <w:t>按照年度规划部署工作量，地质灾害监测预警体系建设的总经费为61.92万元。2021～2025年的年度经费分别为19.80万元、13.68万元、13.68万元、7.92万元、6.84万元。</w:t>
      </w:r>
    </w:p>
    <w:p>
      <w:pPr>
        <w:snapToGrid w:val="0"/>
        <w:ind w:firstLine="0" w:firstLineChars="0"/>
        <w:jc w:val="center"/>
        <w:rPr>
          <w:rFonts w:ascii="仿宋" w:hAnsi="仿宋" w:eastAsia="仿宋" w:cs="仿宋"/>
          <w:b/>
          <w:sz w:val="21"/>
          <w:szCs w:val="21"/>
        </w:rPr>
      </w:pPr>
    </w:p>
    <w:p>
      <w:pPr>
        <w:snapToGrid w:val="0"/>
        <w:ind w:firstLine="0" w:firstLineChars="0"/>
        <w:jc w:val="center"/>
        <w:rPr>
          <w:rFonts w:ascii="仿宋" w:hAnsi="仿宋" w:eastAsia="仿宋" w:cs="仿宋"/>
          <w:b/>
          <w:sz w:val="21"/>
          <w:szCs w:val="21"/>
        </w:rPr>
      </w:pPr>
    </w:p>
    <w:p>
      <w:pPr>
        <w:snapToGrid w:val="0"/>
        <w:ind w:firstLine="0" w:firstLineChars="0"/>
        <w:jc w:val="center"/>
        <w:rPr>
          <w:rFonts w:ascii="仿宋" w:hAnsi="仿宋" w:eastAsia="仿宋" w:cs="仿宋"/>
          <w:b/>
          <w:sz w:val="21"/>
          <w:szCs w:val="21"/>
        </w:rPr>
      </w:pPr>
    </w:p>
    <w:p>
      <w:pPr>
        <w:snapToGrid w:val="0"/>
        <w:ind w:firstLine="0" w:firstLineChars="0"/>
        <w:jc w:val="center"/>
        <w:rPr>
          <w:b/>
          <w:sz w:val="21"/>
          <w:szCs w:val="21"/>
        </w:rPr>
      </w:pPr>
      <w:r>
        <w:rPr>
          <w:rFonts w:hint="eastAsia" w:ascii="仿宋" w:hAnsi="仿宋" w:eastAsia="仿宋" w:cs="仿宋"/>
          <w:b/>
          <w:sz w:val="21"/>
          <w:szCs w:val="21"/>
        </w:rPr>
        <w:t>表6-1  监测预警体系建设与信息系统建设投资经费估算表</w:t>
      </w:r>
    </w:p>
    <w:tbl>
      <w:tblPr>
        <w:tblStyle w:val="33"/>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323"/>
        <w:gridCol w:w="1288"/>
        <w:gridCol w:w="783"/>
        <w:gridCol w:w="1019"/>
        <w:gridCol w:w="882"/>
        <w:gridCol w:w="910"/>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89"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项目</w:t>
            </w:r>
          </w:p>
        </w:tc>
        <w:tc>
          <w:tcPr>
            <w:tcW w:w="747"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工作内容</w:t>
            </w:r>
          </w:p>
        </w:tc>
        <w:tc>
          <w:tcPr>
            <w:tcW w:w="727"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估算标准</w:t>
            </w:r>
          </w:p>
        </w:tc>
        <w:tc>
          <w:tcPr>
            <w:tcW w:w="442"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数量</w:t>
            </w:r>
          </w:p>
        </w:tc>
        <w:tc>
          <w:tcPr>
            <w:tcW w:w="575"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小计</w:t>
            </w:r>
          </w:p>
          <w:p>
            <w:pPr>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（万元）</w:t>
            </w:r>
          </w:p>
        </w:tc>
        <w:tc>
          <w:tcPr>
            <w:tcW w:w="498"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合计</w:t>
            </w:r>
          </w:p>
          <w:p>
            <w:pPr>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（万元）</w:t>
            </w:r>
          </w:p>
        </w:tc>
        <w:tc>
          <w:tcPr>
            <w:tcW w:w="514"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备注</w:t>
            </w:r>
          </w:p>
        </w:tc>
        <w:tc>
          <w:tcPr>
            <w:tcW w:w="807"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sz w:val="21"/>
                <w:szCs w:val="21"/>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9" w:type="pct"/>
            <w:vAlign w:val="center"/>
          </w:tcPr>
          <w:p>
            <w:pPr>
              <w:widowControl/>
              <w:snapToGrid w:val="0"/>
              <w:spacing w:line="240" w:lineRule="auto"/>
              <w:ind w:firstLine="0" w:firstLineChars="0"/>
              <w:jc w:val="center"/>
              <w:rPr>
                <w:rFonts w:ascii="仿宋" w:hAnsi="仿宋" w:eastAsia="仿宋" w:cs="仿宋"/>
                <w:bCs/>
                <w:kern w:val="0"/>
                <w:sz w:val="21"/>
                <w:szCs w:val="21"/>
              </w:rPr>
            </w:pPr>
            <w:r>
              <w:rPr>
                <w:rFonts w:hint="eastAsia" w:ascii="仿宋" w:hAnsi="仿宋" w:eastAsia="仿宋" w:cs="仿宋"/>
                <w:bCs/>
                <w:kern w:val="0"/>
                <w:sz w:val="21"/>
                <w:szCs w:val="21"/>
              </w:rPr>
              <w:t>群测群防体系建设</w:t>
            </w:r>
          </w:p>
        </w:tc>
        <w:tc>
          <w:tcPr>
            <w:tcW w:w="747"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专职监测员补贴</w:t>
            </w:r>
          </w:p>
        </w:tc>
        <w:tc>
          <w:tcPr>
            <w:tcW w:w="727"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3600元/人·年</w:t>
            </w:r>
          </w:p>
        </w:tc>
        <w:tc>
          <w:tcPr>
            <w:tcW w:w="442"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172</w:t>
            </w:r>
          </w:p>
        </w:tc>
        <w:tc>
          <w:tcPr>
            <w:tcW w:w="575"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61.92</w:t>
            </w:r>
          </w:p>
        </w:tc>
        <w:tc>
          <w:tcPr>
            <w:tcW w:w="498"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61.92</w:t>
            </w:r>
          </w:p>
        </w:tc>
        <w:tc>
          <w:tcPr>
            <w:tcW w:w="514"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5年补助</w:t>
            </w:r>
          </w:p>
        </w:tc>
        <w:tc>
          <w:tcPr>
            <w:tcW w:w="807" w:type="pct"/>
            <w:vMerge w:val="restar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sz w:val="21"/>
                <w:szCs w:val="21"/>
              </w:rPr>
              <w:t>中央、省地质灾害防治专项资金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0" w:type="pct"/>
            <w:gridSpan w:val="5"/>
            <w:tcBorders>
              <w:bottom w:val="single" w:color="auto" w:sz="4" w:space="0"/>
            </w:tcBorders>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合计</w:t>
            </w:r>
          </w:p>
        </w:tc>
        <w:tc>
          <w:tcPr>
            <w:tcW w:w="498" w:type="pct"/>
            <w:tcBorders>
              <w:bottom w:val="single" w:color="auto" w:sz="4" w:space="0"/>
            </w:tcBorders>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61.92</w:t>
            </w:r>
          </w:p>
        </w:tc>
        <w:tc>
          <w:tcPr>
            <w:tcW w:w="514" w:type="pct"/>
            <w:tcBorders>
              <w:bottom w:val="single" w:color="auto" w:sz="4" w:space="0"/>
            </w:tcBorders>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807" w:type="pct"/>
            <w:vMerge w:val="continue"/>
            <w:tcBorders>
              <w:bottom w:val="single" w:color="auto" w:sz="4" w:space="0"/>
            </w:tcBorders>
          </w:tcPr>
          <w:p>
            <w:pPr>
              <w:widowControl/>
              <w:snapToGrid w:val="0"/>
              <w:spacing w:line="240" w:lineRule="auto"/>
              <w:ind w:firstLine="0" w:firstLineChars="0"/>
              <w:jc w:val="center"/>
              <w:rPr>
                <w:rFonts w:ascii="仿宋" w:hAnsi="仿宋" w:eastAsia="仿宋" w:cs="仿宋"/>
                <w:kern w:val="0"/>
                <w:sz w:val="21"/>
                <w:szCs w:val="21"/>
              </w:rPr>
            </w:pPr>
          </w:p>
        </w:tc>
      </w:tr>
    </w:tbl>
    <w:p>
      <w:pPr>
        <w:pStyle w:val="3"/>
        <w:snapToGrid w:val="0"/>
        <w:spacing w:after="0" w:line="240" w:lineRule="exact"/>
        <w:ind w:firstLine="240"/>
      </w:pPr>
      <w:bookmarkStart w:id="519" w:name="_Toc468259715"/>
      <w:bookmarkStart w:id="520" w:name="_Toc468259853"/>
      <w:bookmarkStart w:id="521" w:name="_Toc468221707"/>
      <w:bookmarkStart w:id="522" w:name="_Toc468260319"/>
    </w:p>
    <w:p>
      <w:pPr>
        <w:snapToGrid w:val="0"/>
        <w:ind w:firstLine="562"/>
        <w:rPr>
          <w:rFonts w:ascii="仿宋" w:hAnsi="仿宋" w:eastAsia="仿宋" w:cs="仿宋"/>
          <w:b/>
          <w:bCs/>
          <w:sz w:val="28"/>
          <w:szCs w:val="28"/>
        </w:rPr>
      </w:pPr>
      <w:r>
        <w:rPr>
          <w:rFonts w:hint="eastAsia" w:ascii="仿宋" w:hAnsi="仿宋" w:eastAsia="仿宋" w:cs="仿宋"/>
          <w:b/>
          <w:bCs/>
          <w:sz w:val="28"/>
          <w:szCs w:val="28"/>
        </w:rPr>
        <w:t>2、应急排危除险、工程治理与避让搬迁</w:t>
      </w:r>
      <w:bookmarkEnd w:id="519"/>
      <w:bookmarkEnd w:id="520"/>
      <w:bookmarkEnd w:id="521"/>
      <w:bookmarkEnd w:id="522"/>
    </w:p>
    <w:p>
      <w:pPr>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rPr>
        <w:t>表6-2  地质灾害应急排危除险投资经费估算表</w:t>
      </w:r>
    </w:p>
    <w:tbl>
      <w:tblPr>
        <w:tblStyle w:val="33"/>
        <w:tblW w:w="0" w:type="auto"/>
        <w:tblInd w:w="-28" w:type="dxa"/>
        <w:tblLayout w:type="fixed"/>
        <w:tblCellMar>
          <w:top w:w="0" w:type="dxa"/>
          <w:left w:w="28" w:type="dxa"/>
          <w:bottom w:w="0" w:type="dxa"/>
          <w:right w:w="28" w:type="dxa"/>
        </w:tblCellMar>
      </w:tblPr>
      <w:tblGrid>
        <w:gridCol w:w="406"/>
        <w:gridCol w:w="1419"/>
        <w:gridCol w:w="764"/>
        <w:gridCol w:w="410"/>
        <w:gridCol w:w="765"/>
        <w:gridCol w:w="765"/>
        <w:gridCol w:w="693"/>
        <w:gridCol w:w="559"/>
        <w:gridCol w:w="938"/>
        <w:gridCol w:w="679"/>
        <w:gridCol w:w="765"/>
        <w:gridCol w:w="765"/>
      </w:tblGrid>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编号</w:t>
            </w:r>
          </w:p>
        </w:tc>
        <w:tc>
          <w:tcPr>
            <w:tcW w:w="14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灾害隐患点名称</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行政位置</w:t>
            </w:r>
          </w:p>
        </w:tc>
        <w:tc>
          <w:tcPr>
            <w:tcW w:w="4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规模</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目前状态</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趋势预测</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威胁户数</w:t>
            </w:r>
          </w:p>
        </w:tc>
        <w:tc>
          <w:tcPr>
            <w:tcW w:w="5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威胁人数</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防治措施</w:t>
            </w:r>
          </w:p>
        </w:tc>
        <w:tc>
          <w:tcPr>
            <w:tcW w:w="67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经费估算（万元）</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资金来源</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实施年限</w:t>
            </w:r>
          </w:p>
        </w:tc>
      </w:tr>
      <w:tr>
        <w:tblPrEx>
          <w:tblCellMar>
            <w:top w:w="0" w:type="dxa"/>
            <w:left w:w="28" w:type="dxa"/>
            <w:bottom w:w="0" w:type="dxa"/>
            <w:right w:w="28" w:type="dxa"/>
          </w:tblCellMar>
        </w:tblPrEx>
        <w:trPr>
          <w:trHeight w:val="48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张坳口7组崩塌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中央、省地质灾害防治专项资金+区级匹配</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茶儿店山崩塌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牛湾头崩塌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清危+凹腔填补+锚杆支护</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大桥村12组白云寺崩塌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凹腔封填+清危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白虎嘴崩塌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人工清危+嵌补</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寨子下水井湾崩塌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软桥沟崩塌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23</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675"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金山镇白家磅9组花蛇坡崩塌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凹腔封填+清危+被动网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兴隆湾崩塌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主动防护网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洞空子崩塌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左全洪房后崩塌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2022</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软桥沟（沟对面）崩塌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深沟寺崩塌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高子山崩塌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庆子山崩塌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2022</w:t>
            </w:r>
          </w:p>
        </w:tc>
      </w:tr>
      <w:tr>
        <w:tblPrEx>
          <w:tblCellMar>
            <w:top w:w="0" w:type="dxa"/>
            <w:left w:w="28" w:type="dxa"/>
            <w:bottom w:w="0" w:type="dxa"/>
            <w:right w:w="28" w:type="dxa"/>
          </w:tblCellMar>
        </w:tblPrEx>
        <w:trPr>
          <w:trHeight w:val="675"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16</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红豆村7组人和井老虎岩崩塌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21</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柑子村5组崩塌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清危+锚杆支护</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半边街社区7组滑坡</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36</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挡土墙+截排水沟</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19</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大石山崩塌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清危+被动防护网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侧儿崖滑坡</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冠英镇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挡墙</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270" w:hRule="atLeast"/>
          <w:tblHeader/>
        </w:trPr>
        <w:tc>
          <w:tcPr>
            <w:tcW w:w="6719" w:type="dxa"/>
            <w:gridSpan w:val="9"/>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67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387</w:t>
            </w:r>
          </w:p>
        </w:tc>
        <w:tc>
          <w:tcPr>
            <w:tcW w:w="1530"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w:t>
            </w:r>
          </w:p>
        </w:tc>
      </w:tr>
    </w:tbl>
    <w:p>
      <w:pPr>
        <w:snapToGrid w:val="0"/>
        <w:ind w:firstLine="0" w:firstLineChars="0"/>
        <w:jc w:val="center"/>
        <w:rPr>
          <w:rFonts w:ascii="仿宋" w:hAnsi="仿宋" w:eastAsia="仿宋" w:cs="仿宋"/>
          <w:b/>
          <w:sz w:val="21"/>
          <w:szCs w:val="21"/>
        </w:rPr>
      </w:pPr>
    </w:p>
    <w:p>
      <w:pPr>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rPr>
        <w:t>表6-3  地质灾害工程治理投资经费估算表</w:t>
      </w:r>
    </w:p>
    <w:tbl>
      <w:tblPr>
        <w:tblStyle w:val="33"/>
        <w:tblW w:w="9388" w:type="dxa"/>
        <w:jc w:val="center"/>
        <w:tblLayout w:type="fixed"/>
        <w:tblCellMar>
          <w:top w:w="0" w:type="dxa"/>
          <w:left w:w="108" w:type="dxa"/>
          <w:bottom w:w="0" w:type="dxa"/>
          <w:right w:w="108" w:type="dxa"/>
        </w:tblCellMar>
      </w:tblPr>
      <w:tblGrid>
        <w:gridCol w:w="851"/>
        <w:gridCol w:w="2023"/>
        <w:gridCol w:w="850"/>
        <w:gridCol w:w="709"/>
        <w:gridCol w:w="709"/>
        <w:gridCol w:w="1701"/>
        <w:gridCol w:w="709"/>
        <w:gridCol w:w="817"/>
        <w:gridCol w:w="1019"/>
      </w:tblGrid>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统一编号</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灾害隐患点名称</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规模</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受威胁户数</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受威胁人数</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治理措施</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经费估算(万)</w:t>
            </w:r>
          </w:p>
        </w:tc>
        <w:tc>
          <w:tcPr>
            <w:tcW w:w="81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资金来源</w:t>
            </w: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实施年限</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20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石麟镇张坳口村8组斑竹林湾崩塌</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170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被动网+桩板拦石墙</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100</w:t>
            </w:r>
          </w:p>
        </w:tc>
        <w:tc>
          <w:tcPr>
            <w:tcW w:w="81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2024年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马儿石村8组崩塌</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凹腔嵌补+截排水沟+锚杆锚固</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60</w:t>
            </w:r>
          </w:p>
        </w:tc>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中央、省地质灾害防治专项资金+区级匹配</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南山村桥坝滑坡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33</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帷幕灌浆+抗滑桩+重力式挡土墙+截排水沟</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130</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大寺尚滑坡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41</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清危+截排水沟+挡土墙</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乌龟石滑坡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截水沟+抗滑桩</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60</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田江坡滑坡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40</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削坡</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牛华中学操场后滑坡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23</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清危+抗滑桩+抗滑挡土墙+护坡+截排水沟</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150</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6843" w:type="dxa"/>
            <w:gridSpan w:val="6"/>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2545" w:type="dxa"/>
            <w:gridSpan w:val="3"/>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562</w:t>
            </w:r>
          </w:p>
        </w:tc>
      </w:tr>
    </w:tbl>
    <w:p>
      <w:pPr>
        <w:snapToGrid w:val="0"/>
        <w:ind w:firstLine="0" w:firstLineChars="0"/>
        <w:jc w:val="center"/>
        <w:rPr>
          <w:rFonts w:ascii="仿宋" w:hAnsi="仿宋" w:eastAsia="仿宋" w:cs="仿宋"/>
          <w:b/>
          <w:sz w:val="21"/>
          <w:szCs w:val="21"/>
        </w:rPr>
      </w:pPr>
    </w:p>
    <w:p>
      <w:pPr>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rPr>
        <w:t>表6-4  地质灾害避让搬迁投资经费估算表</w:t>
      </w:r>
    </w:p>
    <w:tbl>
      <w:tblPr>
        <w:tblStyle w:val="3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8"/>
        <w:gridCol w:w="851"/>
        <w:gridCol w:w="1537"/>
        <w:gridCol w:w="669"/>
        <w:gridCol w:w="669"/>
        <w:gridCol w:w="669"/>
        <w:gridCol w:w="669"/>
        <w:gridCol w:w="669"/>
        <w:gridCol w:w="936"/>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88" w:type="dxa"/>
            <w:vMerge w:val="restar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项目</w:t>
            </w:r>
          </w:p>
        </w:tc>
        <w:tc>
          <w:tcPr>
            <w:tcW w:w="851" w:type="dxa"/>
            <w:vMerge w:val="restar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估算标准</w:t>
            </w:r>
          </w:p>
        </w:tc>
        <w:tc>
          <w:tcPr>
            <w:tcW w:w="1537" w:type="dxa"/>
            <w:vMerge w:val="restar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数量</w:t>
            </w:r>
          </w:p>
        </w:tc>
        <w:tc>
          <w:tcPr>
            <w:tcW w:w="3345" w:type="dxa"/>
            <w:gridSpan w:val="5"/>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年度资金安排（年/万元）</w:t>
            </w:r>
          </w:p>
        </w:tc>
        <w:tc>
          <w:tcPr>
            <w:tcW w:w="936" w:type="dxa"/>
            <w:vMerge w:val="restart"/>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合计</w:t>
            </w:r>
          </w:p>
          <w:p>
            <w:pPr>
              <w:snapToGrid w:val="0"/>
              <w:spacing w:line="240" w:lineRule="auto"/>
              <w:ind w:firstLine="0" w:firstLineChars="0"/>
              <w:rPr>
                <w:rFonts w:ascii="仿宋" w:hAnsi="仿宋" w:eastAsia="仿宋" w:cs="仿宋"/>
                <w:b/>
                <w:sz w:val="21"/>
                <w:szCs w:val="21"/>
              </w:rPr>
            </w:pPr>
            <w:r>
              <w:rPr>
                <w:rFonts w:hint="eastAsia" w:ascii="仿宋" w:hAnsi="仿宋" w:eastAsia="仿宋" w:cs="仿宋"/>
                <w:b/>
                <w:bCs/>
                <w:kern w:val="0"/>
                <w:sz w:val="21"/>
                <w:szCs w:val="21"/>
              </w:rPr>
              <w:t>(万元)</w:t>
            </w:r>
          </w:p>
        </w:tc>
        <w:tc>
          <w:tcPr>
            <w:tcW w:w="1829" w:type="dxa"/>
            <w:vMerge w:val="restart"/>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88" w:type="dxa"/>
            <w:vMerge w:val="continue"/>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851" w:type="dxa"/>
            <w:vMerge w:val="continue"/>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1537" w:type="dxa"/>
            <w:vMerge w:val="continue"/>
            <w:vAlign w:val="center"/>
          </w:tcPr>
          <w:p>
            <w:pPr>
              <w:snapToGrid w:val="0"/>
              <w:spacing w:line="240" w:lineRule="auto"/>
              <w:ind w:firstLine="0" w:firstLineChars="0"/>
              <w:jc w:val="center"/>
              <w:rPr>
                <w:rFonts w:ascii="仿宋" w:hAnsi="仿宋" w:eastAsia="仿宋" w:cs="仿宋"/>
                <w:b/>
                <w:bCs/>
                <w:sz w:val="21"/>
                <w:szCs w:val="21"/>
                <w:vertAlign w:val="superscript"/>
              </w:rPr>
            </w:pP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2021</w:t>
            </w: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2022</w:t>
            </w: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2023</w:t>
            </w: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2024</w:t>
            </w: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2020</w:t>
            </w:r>
          </w:p>
        </w:tc>
        <w:tc>
          <w:tcPr>
            <w:tcW w:w="936" w:type="dxa"/>
            <w:vMerge w:val="continue"/>
          </w:tcPr>
          <w:p>
            <w:pPr>
              <w:snapToGrid w:val="0"/>
              <w:spacing w:line="240" w:lineRule="auto"/>
              <w:ind w:firstLine="0" w:firstLineChars="0"/>
              <w:jc w:val="center"/>
              <w:rPr>
                <w:rFonts w:ascii="仿宋" w:hAnsi="仿宋" w:eastAsia="仿宋" w:cs="仿宋"/>
                <w:b/>
                <w:sz w:val="21"/>
                <w:szCs w:val="21"/>
              </w:rPr>
            </w:pPr>
          </w:p>
        </w:tc>
        <w:tc>
          <w:tcPr>
            <w:tcW w:w="1829" w:type="dxa"/>
            <w:vMerge w:val="continue"/>
          </w:tcPr>
          <w:p>
            <w:pPr>
              <w:snapToGrid w:val="0"/>
              <w:spacing w:line="240" w:lineRule="auto"/>
              <w:ind w:firstLine="0" w:firstLineChars="0"/>
              <w:jc w:val="center"/>
              <w:rPr>
                <w:rFonts w:ascii="仿宋" w:hAnsi="仿宋" w:eastAsia="仿宋" w:cs="仿宋"/>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88" w:type="dxa"/>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避让搬迁安置</w:t>
            </w:r>
          </w:p>
        </w:tc>
        <w:tc>
          <w:tcPr>
            <w:tcW w:w="851" w:type="dxa"/>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3.5万元/户</w:t>
            </w:r>
          </w:p>
        </w:tc>
        <w:tc>
          <w:tcPr>
            <w:tcW w:w="1537" w:type="dxa"/>
            <w:vAlign w:val="center"/>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sz w:val="21"/>
                <w:szCs w:val="21"/>
              </w:rPr>
              <w:t>15+3+0+2+0</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52.5</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10.5</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7</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w:t>
            </w:r>
          </w:p>
        </w:tc>
        <w:tc>
          <w:tcPr>
            <w:tcW w:w="936"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70</w:t>
            </w:r>
          </w:p>
        </w:tc>
        <w:tc>
          <w:tcPr>
            <w:tcW w:w="182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color w:val="000000"/>
                <w:kern w:val="0"/>
                <w:sz w:val="21"/>
                <w:szCs w:val="21"/>
                <w:lang w:bidi="ar"/>
              </w:rPr>
              <w:t>中央、省地质灾害防治专项资金+区级匹配</w:t>
            </w:r>
          </w:p>
        </w:tc>
      </w:tr>
    </w:tbl>
    <w:p>
      <w:pPr>
        <w:snapToGrid w:val="0"/>
        <w:ind w:firstLine="0" w:firstLineChars="0"/>
        <w:jc w:val="center"/>
        <w:rPr>
          <w:rFonts w:ascii="仿宋" w:hAnsi="仿宋" w:eastAsia="仿宋" w:cs="仿宋"/>
          <w:b/>
          <w:szCs w:val="21"/>
          <w:lang w:val="en-GB"/>
        </w:rPr>
      </w:pPr>
    </w:p>
    <w:p>
      <w:pPr>
        <w:snapToGrid w:val="0"/>
        <w:ind w:firstLine="562"/>
        <w:rPr>
          <w:rFonts w:ascii="仿宋" w:hAnsi="仿宋" w:eastAsia="仿宋" w:cs="仿宋"/>
          <w:b/>
          <w:bCs/>
          <w:sz w:val="28"/>
          <w:szCs w:val="28"/>
        </w:rPr>
      </w:pPr>
      <w:bookmarkStart w:id="523" w:name="_Toc468260320"/>
      <w:bookmarkStart w:id="524" w:name="_Toc468221708"/>
      <w:bookmarkStart w:id="525" w:name="_Toc468259854"/>
      <w:bookmarkStart w:id="526" w:name="_Toc468259716"/>
    </w:p>
    <w:p>
      <w:pPr>
        <w:snapToGrid w:val="0"/>
        <w:ind w:firstLine="562"/>
        <w:rPr>
          <w:rFonts w:ascii="仿宋" w:hAnsi="仿宋" w:eastAsia="仿宋" w:cs="仿宋"/>
          <w:b/>
          <w:bCs/>
          <w:sz w:val="28"/>
          <w:szCs w:val="28"/>
        </w:rPr>
      </w:pPr>
    </w:p>
    <w:p>
      <w:pPr>
        <w:snapToGrid w:val="0"/>
        <w:ind w:firstLine="562"/>
        <w:rPr>
          <w:rFonts w:ascii="仿宋" w:hAnsi="仿宋" w:eastAsia="仿宋" w:cs="仿宋"/>
          <w:b/>
          <w:bCs/>
          <w:sz w:val="28"/>
          <w:szCs w:val="28"/>
        </w:rPr>
      </w:pPr>
      <w:r>
        <w:rPr>
          <w:rFonts w:hint="eastAsia" w:ascii="仿宋" w:hAnsi="仿宋" w:eastAsia="仿宋" w:cs="仿宋"/>
          <w:b/>
          <w:bCs/>
          <w:sz w:val="28"/>
          <w:szCs w:val="28"/>
        </w:rPr>
        <w:t>3、</w:t>
      </w:r>
      <w:bookmarkEnd w:id="523"/>
      <w:bookmarkEnd w:id="524"/>
      <w:bookmarkEnd w:id="525"/>
      <w:bookmarkEnd w:id="526"/>
      <w:r>
        <w:rPr>
          <w:rFonts w:hint="eastAsia" w:ascii="仿宋" w:hAnsi="仿宋" w:eastAsia="仿宋" w:cs="仿宋"/>
          <w:b/>
          <w:bCs/>
          <w:sz w:val="28"/>
          <w:szCs w:val="28"/>
        </w:rPr>
        <w:t>地质灾害应急体系建设</w:t>
      </w:r>
    </w:p>
    <w:p>
      <w:pPr>
        <w:snapToGrid w:val="0"/>
        <w:ind w:firstLine="0" w:firstLineChars="0"/>
        <w:jc w:val="center"/>
        <w:rPr>
          <w:rFonts w:ascii="仿宋" w:hAnsi="仿宋" w:eastAsia="仿宋" w:cs="仿宋"/>
          <w:b/>
          <w:sz w:val="21"/>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6-5</w:t>
      </w:r>
      <w:r>
        <w:rPr>
          <w:rFonts w:hint="eastAsia" w:ascii="仿宋" w:hAnsi="仿宋" w:eastAsia="仿宋" w:cs="仿宋"/>
          <w:b/>
          <w:sz w:val="21"/>
          <w:szCs w:val="21"/>
          <w:lang w:val="en-GB"/>
        </w:rPr>
        <w:t xml:space="preserve">  地质灾害应急体系建设投资经费估算表</w:t>
      </w:r>
    </w:p>
    <w:tbl>
      <w:tblPr>
        <w:tblStyle w:val="33"/>
        <w:tblW w:w="0" w:type="auto"/>
        <w:tblInd w:w="96" w:type="dxa"/>
        <w:tblLayout w:type="autofit"/>
        <w:tblCellMar>
          <w:top w:w="0" w:type="dxa"/>
          <w:left w:w="28" w:type="dxa"/>
          <w:bottom w:w="0" w:type="dxa"/>
          <w:right w:w="28" w:type="dxa"/>
        </w:tblCellMar>
      </w:tblPr>
      <w:tblGrid>
        <w:gridCol w:w="1243"/>
        <w:gridCol w:w="1808"/>
        <w:gridCol w:w="2268"/>
        <w:gridCol w:w="992"/>
        <w:gridCol w:w="992"/>
        <w:gridCol w:w="1023"/>
        <w:gridCol w:w="478"/>
      </w:tblGrid>
      <w:tr>
        <w:tblPrEx>
          <w:tblCellMar>
            <w:top w:w="0" w:type="dxa"/>
            <w:left w:w="28" w:type="dxa"/>
            <w:bottom w:w="0" w:type="dxa"/>
            <w:right w:w="28" w:type="dxa"/>
          </w:tblCellMar>
        </w:tblPrEx>
        <w:trPr>
          <w:trHeight w:val="510" w:hRule="atLeast"/>
        </w:trPr>
        <w:tc>
          <w:tcPr>
            <w:tcW w:w="3051" w:type="dxa"/>
            <w:gridSpan w:val="2"/>
            <w:tcBorders>
              <w:top w:val="single" w:color="000000" w:sz="8" w:space="0"/>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内  容</w:t>
            </w:r>
          </w:p>
        </w:tc>
        <w:tc>
          <w:tcPr>
            <w:tcW w:w="2268" w:type="dxa"/>
            <w:tcBorders>
              <w:top w:val="single" w:color="000000" w:sz="8" w:space="0"/>
              <w:left w:val="single" w:color="000000" w:sz="8" w:space="0"/>
              <w:bottom w:val="single" w:color="000000" w:sz="8" w:space="0"/>
              <w:right w:val="single" w:color="auto" w:sz="4"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标  准</w:t>
            </w:r>
          </w:p>
        </w:tc>
        <w:tc>
          <w:tcPr>
            <w:tcW w:w="99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小 计</w:t>
            </w:r>
          </w:p>
          <w:p>
            <w:pPr>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（万元）</w:t>
            </w:r>
          </w:p>
        </w:tc>
        <w:tc>
          <w:tcPr>
            <w:tcW w:w="99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合 计</w:t>
            </w:r>
          </w:p>
          <w:p>
            <w:pPr>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（万元）</w:t>
            </w:r>
          </w:p>
        </w:tc>
        <w:tc>
          <w:tcPr>
            <w:tcW w:w="1023" w:type="dxa"/>
            <w:tcBorders>
              <w:top w:val="single" w:color="000000" w:sz="8" w:space="0"/>
              <w:left w:val="single" w:color="auto" w:sz="4"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资金来源</w:t>
            </w:r>
          </w:p>
        </w:tc>
        <w:tc>
          <w:tcPr>
            <w:tcW w:w="0" w:type="auto"/>
            <w:tcBorders>
              <w:top w:val="single" w:color="000000" w:sz="8" w:space="0"/>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备注</w:t>
            </w:r>
          </w:p>
        </w:tc>
      </w:tr>
      <w:tr>
        <w:tblPrEx>
          <w:tblCellMar>
            <w:top w:w="0" w:type="dxa"/>
            <w:left w:w="28" w:type="dxa"/>
            <w:bottom w:w="0" w:type="dxa"/>
            <w:right w:w="28" w:type="dxa"/>
          </w:tblCellMar>
        </w:tblPrEx>
        <w:trPr>
          <w:trHeight w:val="397" w:hRule="atLeast"/>
        </w:trPr>
        <w:tc>
          <w:tcPr>
            <w:tcW w:w="0" w:type="auto"/>
            <w:vMerge w:val="restart"/>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宣传培训与应急演练</w:t>
            </w:r>
          </w:p>
        </w:tc>
        <w:tc>
          <w:tcPr>
            <w:tcW w:w="180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科普宣传培训材料</w:t>
            </w:r>
          </w:p>
        </w:tc>
        <w:tc>
          <w:tcPr>
            <w:tcW w:w="226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20元/套*0.4万套</w:t>
            </w:r>
          </w:p>
        </w:tc>
        <w:tc>
          <w:tcPr>
            <w:tcW w:w="992" w:type="dxa"/>
            <w:tcBorders>
              <w:top w:val="single" w:color="auto" w:sz="4"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992" w:type="dxa"/>
            <w:vMerge w:val="restart"/>
            <w:tcBorders>
              <w:top w:val="single" w:color="auto" w:sz="4" w:space="0"/>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215</w:t>
            </w:r>
          </w:p>
        </w:tc>
        <w:tc>
          <w:tcPr>
            <w:tcW w:w="1023" w:type="dxa"/>
            <w:vMerge w:val="restart"/>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中央、省地质灾害防治专项资金+区级匹配</w:t>
            </w:r>
          </w:p>
        </w:tc>
        <w:tc>
          <w:tcPr>
            <w:tcW w:w="0" w:type="auto"/>
            <w:vMerge w:val="restart"/>
            <w:tcBorders>
              <w:top w:val="nil"/>
              <w:left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5年</w:t>
            </w:r>
          </w:p>
          <w:p>
            <w:pPr>
              <w:widowControl/>
              <w:snapToGrid w:val="0"/>
              <w:spacing w:line="240" w:lineRule="auto"/>
              <w:ind w:firstLine="0" w:firstLineChars="0"/>
              <w:jc w:val="center"/>
              <w:textAlignment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80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防灾避险应急演练</w:t>
            </w:r>
          </w:p>
        </w:tc>
        <w:tc>
          <w:tcPr>
            <w:tcW w:w="226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30万元/年·县*5年</w:t>
            </w:r>
          </w:p>
        </w:tc>
        <w:tc>
          <w:tcPr>
            <w:tcW w:w="99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150</w:t>
            </w:r>
          </w:p>
        </w:tc>
        <w:tc>
          <w:tcPr>
            <w:tcW w:w="992" w:type="dxa"/>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23" w:type="dxa"/>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rPr>
                <w:rFonts w:ascii="仿宋" w:hAnsi="仿宋" w:eastAsia="仿宋" w:cs="仿宋"/>
                <w:color w:val="000000"/>
                <w:sz w:val="21"/>
                <w:szCs w:val="21"/>
              </w:rPr>
            </w:pPr>
          </w:p>
        </w:tc>
        <w:tc>
          <w:tcPr>
            <w:tcW w:w="0" w:type="auto"/>
            <w:vMerge w:val="continue"/>
            <w:tcBorders>
              <w:left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0" w:type="auto"/>
            <w:vMerge w:val="restart"/>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应急物资储备与保障</w:t>
            </w:r>
          </w:p>
        </w:tc>
        <w:tc>
          <w:tcPr>
            <w:tcW w:w="180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物资保障</w:t>
            </w:r>
          </w:p>
        </w:tc>
        <w:tc>
          <w:tcPr>
            <w:tcW w:w="226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10万元/县（区）</w:t>
            </w:r>
          </w:p>
        </w:tc>
        <w:tc>
          <w:tcPr>
            <w:tcW w:w="99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992"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1023" w:type="dxa"/>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rPr>
                <w:rFonts w:ascii="仿宋" w:hAnsi="仿宋" w:eastAsia="仿宋" w:cs="仿宋"/>
                <w:color w:val="000000"/>
                <w:sz w:val="21"/>
                <w:szCs w:val="21"/>
              </w:rPr>
            </w:pPr>
          </w:p>
        </w:tc>
        <w:tc>
          <w:tcPr>
            <w:tcW w:w="0" w:type="auto"/>
            <w:vMerge w:val="continue"/>
            <w:tcBorders>
              <w:left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80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物质储备库（县级）</w:t>
            </w:r>
          </w:p>
        </w:tc>
        <w:tc>
          <w:tcPr>
            <w:tcW w:w="226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10万元/县（区）</w:t>
            </w:r>
          </w:p>
        </w:tc>
        <w:tc>
          <w:tcPr>
            <w:tcW w:w="99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992"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1023" w:type="dxa"/>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rPr>
                <w:rFonts w:ascii="仿宋" w:hAnsi="仿宋" w:eastAsia="仿宋" w:cs="仿宋"/>
                <w:color w:val="000000"/>
                <w:sz w:val="21"/>
                <w:szCs w:val="21"/>
              </w:rPr>
            </w:pPr>
          </w:p>
        </w:tc>
        <w:tc>
          <w:tcPr>
            <w:tcW w:w="0" w:type="auto"/>
            <w:vMerge w:val="continue"/>
            <w:tcBorders>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6311" w:type="dxa"/>
            <w:gridSpan w:val="4"/>
            <w:tcBorders>
              <w:top w:val="nil"/>
              <w:left w:val="single" w:color="000000" w:sz="8" w:space="0"/>
              <w:bottom w:val="single" w:color="000000" w:sz="8" w:space="0"/>
              <w:right w:val="single" w:color="000000" w:sz="8" w:space="0"/>
            </w:tcBorders>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合 计</w:t>
            </w:r>
          </w:p>
        </w:tc>
        <w:tc>
          <w:tcPr>
            <w:tcW w:w="2493" w:type="dxa"/>
            <w:gridSpan w:val="3"/>
            <w:tcBorders>
              <w:top w:val="nil"/>
              <w:left w:val="nil"/>
              <w:bottom w:val="single" w:color="000000" w:sz="8" w:space="0"/>
              <w:right w:val="single" w:color="000000" w:sz="8" w:space="0"/>
            </w:tcBorders>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315</w:t>
            </w:r>
          </w:p>
        </w:tc>
      </w:tr>
    </w:tbl>
    <w:p>
      <w:pPr>
        <w:ind w:firstLine="480"/>
      </w:pPr>
    </w:p>
    <w:p>
      <w:pPr>
        <w:pStyle w:val="6"/>
        <w:snapToGrid w:val="0"/>
        <w:spacing w:beforeLines="0" w:afterLines="0"/>
        <w:ind w:firstLine="562" w:firstLineChars="200"/>
        <w:rPr>
          <w:rFonts w:cs="仿宋"/>
          <w:szCs w:val="28"/>
        </w:rPr>
      </w:pPr>
      <w:r>
        <w:rPr>
          <w:rFonts w:hint="eastAsia" w:cs="仿宋"/>
          <w:szCs w:val="28"/>
        </w:rPr>
        <w:t>三、年度资金需求估算</w:t>
      </w:r>
    </w:p>
    <w:p>
      <w:pPr>
        <w:pStyle w:val="66"/>
        <w:snapToGrid w:val="0"/>
        <w:spacing w:line="360" w:lineRule="auto"/>
        <w:rPr>
          <w:rFonts w:ascii="仿宋" w:hAnsi="仿宋" w:eastAsia="仿宋" w:cs="仿宋"/>
          <w:sz w:val="28"/>
          <w:szCs w:val="28"/>
        </w:rPr>
      </w:pPr>
      <w:r>
        <w:rPr>
          <w:rFonts w:hint="eastAsia" w:ascii="仿宋" w:hAnsi="仿宋" w:eastAsia="仿宋" w:cs="仿宋"/>
          <w:sz w:val="28"/>
          <w:szCs w:val="28"/>
        </w:rPr>
        <w:t>本次“十四五”规划年度资金安排详见下表。</w:t>
      </w:r>
    </w:p>
    <w:p>
      <w:pPr>
        <w:snapToGrid w:val="0"/>
        <w:ind w:firstLine="0" w:firstLineChars="0"/>
        <w:jc w:val="center"/>
        <w:rPr>
          <w:rFonts w:ascii="仿宋" w:hAnsi="仿宋" w:eastAsia="仿宋" w:cs="仿宋"/>
          <w:b/>
          <w:sz w:val="21"/>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 xml:space="preserve">6-6 </w:t>
      </w:r>
      <w:r>
        <w:rPr>
          <w:rFonts w:hint="eastAsia" w:ascii="仿宋" w:hAnsi="仿宋" w:eastAsia="仿宋" w:cs="仿宋"/>
          <w:b/>
          <w:sz w:val="21"/>
          <w:szCs w:val="21"/>
          <w:lang w:val="en-GB"/>
        </w:rPr>
        <w:t>年度资金规划表</w:t>
      </w:r>
    </w:p>
    <w:tbl>
      <w:tblPr>
        <w:tblStyle w:val="33"/>
        <w:tblW w:w="0" w:type="auto"/>
        <w:jc w:val="center"/>
        <w:tblLayout w:type="fixed"/>
        <w:tblCellMar>
          <w:top w:w="0" w:type="dxa"/>
          <w:left w:w="108" w:type="dxa"/>
          <w:bottom w:w="0" w:type="dxa"/>
          <w:right w:w="108" w:type="dxa"/>
        </w:tblCellMar>
      </w:tblPr>
      <w:tblGrid>
        <w:gridCol w:w="959"/>
        <w:gridCol w:w="1559"/>
        <w:gridCol w:w="1736"/>
        <w:gridCol w:w="830"/>
        <w:gridCol w:w="830"/>
        <w:gridCol w:w="753"/>
        <w:gridCol w:w="753"/>
        <w:gridCol w:w="753"/>
        <w:gridCol w:w="887"/>
      </w:tblGrid>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实施年限</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sz w:val="21"/>
                <w:szCs w:val="21"/>
              </w:rPr>
              <w:t>地质灾害调查评价</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sz w:val="21"/>
                <w:szCs w:val="21"/>
              </w:rPr>
              <w:t>地质灾害督导排查技术支撑</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sz w:val="21"/>
                <w:szCs w:val="21"/>
              </w:rPr>
              <w:t>监测预警</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sz w:val="21"/>
                <w:szCs w:val="21"/>
              </w:rPr>
              <w:t>排危除险</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工程治理</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避险搬迁</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应急体系</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合计(万元)</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80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19.8</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171</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462</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52.5</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878.3</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2022年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13.68</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10.5</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135.18</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2023年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13.68</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198</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304.68</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2024年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7.92</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100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207.92</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2025年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6.84</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99.84</w:t>
            </w:r>
          </w:p>
        </w:tc>
      </w:tr>
      <w:tr>
        <w:tblPrEx>
          <w:tblCellMar>
            <w:top w:w="0" w:type="dxa"/>
            <w:left w:w="108" w:type="dxa"/>
            <w:bottom w:w="0" w:type="dxa"/>
            <w:right w:w="108" w:type="dxa"/>
          </w:tblCellMar>
        </w:tblPrEx>
        <w:trPr>
          <w:trHeight w:val="454" w:hRule="atLeast"/>
          <w:jc w:val="center"/>
        </w:trPr>
        <w:tc>
          <w:tcPr>
            <w:tcW w:w="8173" w:type="dxa"/>
            <w:gridSpan w:val="8"/>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合计</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1626</w:t>
            </w:r>
          </w:p>
        </w:tc>
      </w:tr>
    </w:tbl>
    <w:p>
      <w:pPr>
        <w:pStyle w:val="5"/>
        <w:snapToGrid w:val="0"/>
        <w:spacing w:beforeLines="0"/>
        <w:jc w:val="center"/>
        <w:rPr>
          <w:rStyle w:val="95"/>
          <w:rFonts w:ascii="仿宋" w:hAnsi="仿宋" w:eastAsia="仿宋" w:cs="仿宋"/>
          <w:sz w:val="30"/>
        </w:rPr>
      </w:pPr>
      <w:bookmarkStart w:id="527" w:name="_Toc25588"/>
      <w:bookmarkStart w:id="528" w:name="_Toc12056"/>
      <w:bookmarkStart w:id="529" w:name="_Toc30085"/>
      <w:r>
        <w:rPr>
          <w:rStyle w:val="95"/>
          <w:rFonts w:hint="eastAsia" w:ascii="仿宋" w:hAnsi="仿宋" w:eastAsia="仿宋" w:cs="仿宋"/>
          <w:sz w:val="30"/>
        </w:rPr>
        <w:t>第三节</w:t>
      </w:r>
      <w:r>
        <w:rPr>
          <w:rStyle w:val="95"/>
          <w:rFonts w:hint="eastAsia" w:cs="仿宋"/>
          <w:sz w:val="30"/>
        </w:rPr>
        <w:t>、</w:t>
      </w:r>
      <w:r>
        <w:rPr>
          <w:rStyle w:val="95"/>
          <w:rFonts w:hint="eastAsia" w:ascii="仿宋" w:hAnsi="仿宋" w:eastAsia="仿宋" w:cs="仿宋"/>
          <w:sz w:val="30"/>
        </w:rPr>
        <w:t>防治效益评估测</w:t>
      </w:r>
      <w:bookmarkEnd w:id="527"/>
      <w:bookmarkEnd w:id="528"/>
      <w:bookmarkEnd w:id="529"/>
    </w:p>
    <w:p>
      <w:pPr>
        <w:pStyle w:val="6"/>
        <w:snapToGrid w:val="0"/>
        <w:spacing w:beforeLines="0" w:afterLines="0"/>
        <w:ind w:firstLine="562" w:firstLineChars="200"/>
        <w:rPr>
          <w:rFonts w:cs="仿宋"/>
          <w:szCs w:val="28"/>
        </w:rPr>
      </w:pPr>
      <w:bookmarkStart w:id="530" w:name="_Toc10255"/>
      <w:bookmarkStart w:id="531" w:name="_Toc327438306"/>
      <w:bookmarkStart w:id="532" w:name="_Toc468259860"/>
      <w:bookmarkStart w:id="533" w:name="_Toc322436889"/>
      <w:bookmarkStart w:id="534" w:name="_Toc330300973"/>
      <w:bookmarkStart w:id="535" w:name="_Toc29029"/>
      <w:bookmarkStart w:id="536" w:name="_Toc468259722"/>
      <w:bookmarkStart w:id="537" w:name="_Toc322436232"/>
      <w:bookmarkStart w:id="538" w:name="_Toc469046172"/>
      <w:bookmarkStart w:id="539" w:name="_Toc327438404"/>
      <w:r>
        <w:rPr>
          <w:rFonts w:hint="eastAsia" w:cs="仿宋"/>
          <w:szCs w:val="28"/>
        </w:rPr>
        <w:t>一、经济效益</w:t>
      </w:r>
      <w:bookmarkEnd w:id="530"/>
      <w:bookmarkEnd w:id="531"/>
      <w:bookmarkEnd w:id="532"/>
      <w:bookmarkEnd w:id="533"/>
      <w:bookmarkEnd w:id="534"/>
      <w:bookmarkEnd w:id="535"/>
      <w:bookmarkEnd w:id="536"/>
      <w:bookmarkEnd w:id="537"/>
      <w:bookmarkEnd w:id="538"/>
      <w:bookmarkEnd w:id="539"/>
    </w:p>
    <w:p>
      <w:pPr>
        <w:snapToGrid w:val="0"/>
        <w:ind w:firstLine="560"/>
        <w:rPr>
          <w:rFonts w:ascii="仿宋" w:hAnsi="仿宋" w:eastAsia="仿宋" w:cs="仿宋"/>
          <w:sz w:val="28"/>
          <w:szCs w:val="28"/>
        </w:rPr>
      </w:pPr>
      <w:r>
        <w:rPr>
          <w:rFonts w:hint="eastAsia" w:ascii="仿宋" w:hAnsi="仿宋" w:eastAsia="仿宋" w:cs="仿宋"/>
          <w:sz w:val="28"/>
          <w:szCs w:val="28"/>
        </w:rPr>
        <w:t>通过对我区地质灾害隐患点的详细调查、评价，并对不同的地质灾害隐患点做出了相应的《规划》，针对不同类型的地质灾害隐患点分别采取监测、搬迁避让、治理并建立地质灾害应急避险场所等措施，可避免地质灾害的发生或降低其发生几率，使受地质灾害威胁的319户1035人以及2495万元财产得到有效保护，进一步减免地质灾害造成的经济损失，为保障跨越式发展目标的顺利实现提供地质环境安全保障。</w:t>
      </w:r>
    </w:p>
    <w:p>
      <w:pPr>
        <w:pStyle w:val="6"/>
        <w:snapToGrid w:val="0"/>
        <w:spacing w:beforeLines="0" w:afterLines="0"/>
        <w:ind w:firstLine="562" w:firstLineChars="200"/>
        <w:rPr>
          <w:rFonts w:cs="仿宋"/>
          <w:szCs w:val="28"/>
        </w:rPr>
      </w:pPr>
      <w:bookmarkStart w:id="540" w:name="_Toc468259723"/>
      <w:bookmarkStart w:id="541" w:name="_Toc469046173"/>
      <w:bookmarkStart w:id="542" w:name="_Toc468259861"/>
      <w:bookmarkStart w:id="543" w:name="_Toc322436890"/>
      <w:bookmarkStart w:id="544" w:name="_Toc327438307"/>
      <w:bookmarkStart w:id="545" w:name="_Toc12716"/>
      <w:bookmarkStart w:id="546" w:name="_Toc327438405"/>
      <w:bookmarkStart w:id="547" w:name="_Toc330300974"/>
      <w:bookmarkStart w:id="548" w:name="_Toc29684"/>
      <w:bookmarkStart w:id="549" w:name="_Toc322436233"/>
      <w:r>
        <w:rPr>
          <w:rFonts w:hint="eastAsia" w:cs="仿宋"/>
          <w:szCs w:val="28"/>
        </w:rPr>
        <w:t>二、环境效益</w:t>
      </w:r>
      <w:bookmarkEnd w:id="540"/>
      <w:bookmarkEnd w:id="541"/>
      <w:bookmarkEnd w:id="542"/>
      <w:bookmarkEnd w:id="543"/>
      <w:bookmarkEnd w:id="544"/>
      <w:bookmarkEnd w:id="545"/>
      <w:bookmarkEnd w:id="546"/>
      <w:bookmarkEnd w:id="547"/>
      <w:bookmarkEnd w:id="548"/>
      <w:bookmarkEnd w:id="549"/>
    </w:p>
    <w:p>
      <w:pPr>
        <w:snapToGrid w:val="0"/>
        <w:ind w:firstLine="560"/>
        <w:rPr>
          <w:rFonts w:ascii="仿宋" w:hAnsi="仿宋" w:eastAsia="仿宋" w:cs="仿宋"/>
          <w:sz w:val="28"/>
          <w:szCs w:val="28"/>
        </w:rPr>
      </w:pPr>
      <w:r>
        <w:rPr>
          <w:rFonts w:hint="eastAsia" w:ascii="仿宋" w:hAnsi="仿宋" w:eastAsia="仿宋" w:cs="仿宋"/>
          <w:sz w:val="28"/>
          <w:szCs w:val="28"/>
        </w:rPr>
        <w:t>地质灾害一直威胁着我区部分群众的耕地和生活环境，特别是在灾害易发期间（雨季）让各灾害点区域的农作物以及树木等植被都会受到影响及破坏。一旦受灾后农作物的产量就会受到影响甚至被毁坏，直接影响到农户的农作物收成。对全区地质灾害隐患点提出相应的防治措施可以相应的减少甚至消除地质灾害对植被以及农作物的破坏，另外，矿山的恢复治理也使得周围环境得以恢复。因此，具有明显的环境效益。</w:t>
      </w:r>
    </w:p>
    <w:p>
      <w:pPr>
        <w:pStyle w:val="6"/>
        <w:snapToGrid w:val="0"/>
        <w:spacing w:beforeLines="0" w:afterLines="0"/>
        <w:ind w:firstLine="562" w:firstLineChars="200"/>
        <w:rPr>
          <w:rFonts w:cs="仿宋"/>
          <w:szCs w:val="28"/>
        </w:rPr>
      </w:pPr>
      <w:bookmarkStart w:id="550" w:name="_Toc330300975"/>
      <w:bookmarkStart w:id="551" w:name="_Toc327438406"/>
      <w:bookmarkStart w:id="552" w:name="_Toc327438308"/>
      <w:bookmarkStart w:id="553" w:name="_Toc468259862"/>
      <w:bookmarkStart w:id="554" w:name="_Toc469046174"/>
      <w:bookmarkStart w:id="555" w:name="_Toc468259724"/>
      <w:bookmarkStart w:id="556" w:name="_Toc322436891"/>
      <w:bookmarkStart w:id="557" w:name="_Toc322436234"/>
      <w:bookmarkStart w:id="558" w:name="_Toc3219"/>
      <w:bookmarkStart w:id="559" w:name="_Toc14341"/>
      <w:r>
        <w:rPr>
          <w:rFonts w:hint="eastAsia" w:cs="仿宋"/>
          <w:szCs w:val="28"/>
        </w:rPr>
        <w:t>三、社会效益</w:t>
      </w:r>
      <w:bookmarkEnd w:id="550"/>
      <w:bookmarkEnd w:id="551"/>
      <w:bookmarkEnd w:id="552"/>
      <w:bookmarkEnd w:id="553"/>
      <w:bookmarkEnd w:id="554"/>
      <w:bookmarkEnd w:id="555"/>
      <w:bookmarkEnd w:id="556"/>
      <w:bookmarkEnd w:id="557"/>
      <w:bookmarkEnd w:id="558"/>
      <w:bookmarkEnd w:id="559"/>
    </w:p>
    <w:p>
      <w:pPr>
        <w:snapToGrid w:val="0"/>
        <w:ind w:firstLine="560"/>
        <w:rPr>
          <w:rFonts w:ascii="仿宋" w:hAnsi="仿宋" w:eastAsia="仿宋" w:cs="仿宋"/>
          <w:b/>
          <w:bCs/>
          <w:sz w:val="28"/>
          <w:szCs w:val="28"/>
        </w:rPr>
      </w:pPr>
      <w:r>
        <w:rPr>
          <w:rFonts w:hint="eastAsia" w:ascii="仿宋" w:hAnsi="仿宋" w:eastAsia="仿宋" w:cs="仿宋"/>
          <w:sz w:val="28"/>
          <w:szCs w:val="28"/>
        </w:rPr>
        <w:t>规划实施后，不仅可以使受地质灾害威胁的各镇的地质灾害防治水平达到与其经济社会发展水平基本适应的标准，受威胁农户生命财产安全得到有效的保护，避免群死群伤事件的发生，保证正常的生产和生活活动，还可减轻受灾威胁群众的精神负担和心理创伤，维护社会稳定；同时，还可以推动全区地质灾害防治工作向法制化、规范化、制度化的目标迈进，促进经济社会可持续发展。</w:t>
      </w:r>
    </w:p>
    <w:p>
      <w:pPr>
        <w:pStyle w:val="4"/>
        <w:snapToGrid w:val="0"/>
        <w:spacing w:before="0" w:after="0" w:line="360" w:lineRule="auto"/>
        <w:rPr>
          <w:rFonts w:cs="仿宋"/>
          <w:b/>
          <w:bCs/>
        </w:rPr>
      </w:pPr>
      <w:bookmarkStart w:id="560" w:name="_Toc28022"/>
      <w:bookmarkStart w:id="561" w:name="_Toc26286"/>
      <w:r>
        <w:rPr>
          <w:rFonts w:hint="eastAsia" w:cs="仿宋"/>
          <w:b/>
          <w:bCs/>
        </w:rPr>
        <w:t>第七章 保障措施</w:t>
      </w:r>
      <w:bookmarkEnd w:id="500"/>
      <w:bookmarkEnd w:id="560"/>
      <w:bookmarkEnd w:id="561"/>
    </w:p>
    <w:p>
      <w:pPr>
        <w:pStyle w:val="5"/>
        <w:snapToGrid w:val="0"/>
        <w:spacing w:beforeLines="0"/>
        <w:jc w:val="center"/>
        <w:rPr>
          <w:rStyle w:val="95"/>
          <w:rFonts w:ascii="仿宋" w:hAnsi="仿宋" w:eastAsia="仿宋" w:cs="仿宋"/>
          <w:sz w:val="30"/>
        </w:rPr>
      </w:pPr>
      <w:bookmarkStart w:id="562" w:name="_Toc31102"/>
      <w:bookmarkStart w:id="563" w:name="_Toc30304"/>
      <w:bookmarkStart w:id="564" w:name="_Toc12922"/>
      <w:bookmarkStart w:id="565" w:name="_Toc330300976"/>
      <w:bookmarkStart w:id="566" w:name="_Toc322436235"/>
      <w:bookmarkStart w:id="567" w:name="_Toc322436892"/>
      <w:bookmarkStart w:id="568" w:name="_Toc327438407"/>
      <w:bookmarkStart w:id="569" w:name="_Toc327438309"/>
      <w:r>
        <w:rPr>
          <w:rStyle w:val="95"/>
          <w:rFonts w:hint="eastAsia" w:ascii="仿宋" w:hAnsi="仿宋" w:eastAsia="仿宋" w:cs="仿宋"/>
          <w:sz w:val="30"/>
        </w:rPr>
        <w:t>第一节 加强组织领导</w:t>
      </w:r>
      <w:bookmarkEnd w:id="562"/>
      <w:bookmarkEnd w:id="563"/>
      <w:bookmarkEnd w:id="564"/>
    </w:p>
    <w:p>
      <w:pPr>
        <w:snapToGrid w:val="0"/>
        <w:ind w:firstLine="560"/>
        <w:rPr>
          <w:rFonts w:ascii="仿宋" w:hAnsi="仿宋" w:eastAsia="仿宋" w:cs="仿宋"/>
          <w:sz w:val="28"/>
          <w:szCs w:val="28"/>
        </w:rPr>
      </w:pPr>
      <w:r>
        <w:rPr>
          <w:rFonts w:hint="eastAsia" w:ascii="仿宋" w:hAnsi="仿宋" w:eastAsia="仿宋" w:cs="仿宋"/>
          <w:sz w:val="28"/>
          <w:szCs w:val="28"/>
        </w:rPr>
        <w:t>行政管理是保证地质灾害防治规划及防治工作开展的行政保证，根据《地质灾害防治条例》《四川省地质环境管理条例》《国务院关于加强地质灾害防治工作的决定》《国家突发地质灾害应急预案》等规定，地质灾害防治是各级政府重要职责，实行主要领导目标责任制。区级人民政府负责组织和领导本区地质灾害防治工作，自然资源局负责本行政区划内地质灾害防治的组织、协调、指导和监督工作，其他有关部门按照各自职责负责有关地质灾害的防治工作。</w:t>
      </w:r>
    </w:p>
    <w:p>
      <w:pPr>
        <w:snapToGrid w:val="0"/>
        <w:ind w:firstLine="560"/>
        <w:rPr>
          <w:rFonts w:ascii="仿宋" w:hAnsi="仿宋" w:eastAsia="仿宋" w:cs="仿宋"/>
          <w:sz w:val="28"/>
          <w:szCs w:val="28"/>
        </w:rPr>
      </w:pPr>
      <w:r>
        <w:rPr>
          <w:rFonts w:hint="eastAsia" w:ascii="仿宋" w:hAnsi="仿宋" w:eastAsia="仿宋" w:cs="仿宋"/>
          <w:sz w:val="28"/>
          <w:szCs w:val="28"/>
        </w:rPr>
        <w:t>区政府区长为本区地质灾害防灾第一责任人，分管副区长和自然资源局局长为主要责任人，分管副局长为重要责任人。故要成立五通桥区地质灾害防治领导小组，由分管副区长任组长，区自然资源局、水务局、财政局、文体旅游局、教育局、农业农村局、交通运输局等单位和部门的负责人为成员；下设地质灾害防治办公室，设置3～4名通晓该项业务的技术人员；各镇也应建立相应的领导小组、配备相应工作人员，具体负责有关地质灾害防治的日常事务工作；村级主要负责地质灾害监测预警工作。</w:t>
      </w:r>
    </w:p>
    <w:p>
      <w:pPr>
        <w:snapToGrid w:val="0"/>
        <w:ind w:firstLine="560"/>
        <w:rPr>
          <w:rFonts w:ascii="仿宋" w:hAnsi="仿宋" w:eastAsia="仿宋" w:cs="仿宋"/>
          <w:sz w:val="28"/>
          <w:szCs w:val="28"/>
        </w:rPr>
      </w:pPr>
      <w:r>
        <w:rPr>
          <w:rFonts w:hint="eastAsia" w:ascii="仿宋" w:hAnsi="仿宋" w:eastAsia="仿宋" w:cs="仿宋"/>
          <w:sz w:val="28"/>
          <w:szCs w:val="28"/>
        </w:rPr>
        <w:t>建立统一管理、部门职责明确、分工协作、分级管理的工作机制，充分发挥镇、村组在地质灾害防治中的作用，形成以政府领导亲自抓，有关部门共同抓，齐抓共管的局面，确保规划的全面实施。</w:t>
      </w:r>
    </w:p>
    <w:p>
      <w:pPr>
        <w:pStyle w:val="5"/>
        <w:snapToGrid w:val="0"/>
        <w:spacing w:beforeLines="0"/>
        <w:jc w:val="center"/>
        <w:rPr>
          <w:rStyle w:val="95"/>
          <w:rFonts w:ascii="仿宋" w:hAnsi="仿宋" w:eastAsia="仿宋" w:cs="仿宋"/>
          <w:sz w:val="30"/>
        </w:rPr>
      </w:pPr>
      <w:bookmarkStart w:id="570" w:name="_Toc19114"/>
      <w:bookmarkStart w:id="571" w:name="_Toc21529"/>
      <w:bookmarkStart w:id="572" w:name="_Toc31155"/>
      <w:r>
        <w:rPr>
          <w:rStyle w:val="95"/>
          <w:rFonts w:hint="eastAsia" w:ascii="仿宋" w:hAnsi="仿宋" w:eastAsia="仿宋" w:cs="仿宋"/>
          <w:sz w:val="30"/>
        </w:rPr>
        <w:t>第二节 强化资金保障</w:t>
      </w:r>
      <w:bookmarkEnd w:id="570"/>
      <w:bookmarkEnd w:id="571"/>
      <w:bookmarkEnd w:id="572"/>
    </w:p>
    <w:p>
      <w:pPr>
        <w:snapToGrid w:val="0"/>
        <w:ind w:firstLine="560"/>
        <w:rPr>
          <w:rFonts w:ascii="仿宋" w:hAnsi="仿宋" w:eastAsia="仿宋" w:cs="仿宋"/>
          <w:sz w:val="28"/>
          <w:szCs w:val="28"/>
        </w:rPr>
      </w:pPr>
      <w:r>
        <w:rPr>
          <w:rFonts w:hint="eastAsia" w:ascii="仿宋" w:hAnsi="仿宋" w:eastAsia="仿宋" w:cs="仿宋"/>
          <w:sz w:val="28"/>
          <w:szCs w:val="28"/>
        </w:rPr>
        <w:t>根据《地质灾害防治条例》，地质灾害防治要遵循“谁诱发谁治理，谁受益谁出资”的原则。对因自然因素造成的巨型以下的地质灾害，确需治理的，在区人民政府的领导下，由区自然资源主管部门组织治理，实行中央、地方政府与受到灾害威胁的单位组织共同出资治理的方式。对因工程建设等人为活动引发的地质灾害，应由责任单位承担治理责任（责任单位由地质灾害发生地的县级以上人民政府自然资源主管部门负责组织专家对地质灾害的成因进行分析论证后认定），治理经费由责任单位承担。对涉及交通、通讯、水利水电等设施的地质灾害，由相关企业部门负责自行筹措相应治理经费，尤其是在矿业活动中的地质环境保护和矿山地质灾害治理应使用其地质环境恢复治理保证金。</w:t>
      </w:r>
    </w:p>
    <w:p>
      <w:pPr>
        <w:snapToGrid w:val="0"/>
        <w:ind w:firstLine="560"/>
        <w:rPr>
          <w:rFonts w:ascii="仿宋" w:hAnsi="仿宋" w:eastAsia="仿宋" w:cs="仿宋"/>
          <w:sz w:val="28"/>
          <w:szCs w:val="28"/>
          <w:highlight w:val="yellow"/>
        </w:rPr>
      </w:pPr>
      <w:r>
        <w:rPr>
          <w:rFonts w:hint="eastAsia" w:ascii="仿宋" w:hAnsi="仿宋" w:eastAsia="仿宋" w:cs="仿宋"/>
          <w:sz w:val="28"/>
          <w:szCs w:val="28"/>
        </w:rPr>
        <w:t>为了保证地质灾害防治目标的实现，除积极争取部、省、市的专项资金的投入外，地方政府还要不断加大对影响当地城乡居民的地质灾害防治工作的经费投入，并将其纳入当年的地方财政预算安排；地质灾害治理责任人也要出资对与其相关的地质灾害进行防治。同时，也可合理利用企业、社会和个人捐助，政府政策性融资，采矿权转让及矿产资源补偿费等资金进行地质灾害防治。除此之外，政府还可充分整合社会资源，调动社会各方面积极性，将地质灾害防治，特别是避险搬迁工程，与城市建设、棚户区改造、新农村建设、景区建设、道路建设等有机结合，提高地质灾害防治的社会化程度。</w:t>
      </w:r>
    </w:p>
    <w:p>
      <w:pPr>
        <w:snapToGrid w:val="0"/>
        <w:ind w:firstLine="560"/>
      </w:pPr>
      <w:r>
        <w:rPr>
          <w:rFonts w:hint="eastAsia" w:ascii="仿宋" w:hAnsi="仿宋" w:eastAsia="仿宋" w:cs="仿宋"/>
          <w:sz w:val="28"/>
          <w:szCs w:val="28"/>
        </w:rPr>
        <w:t>县级以上地方人民政府自然资源主管部门负责本行政区域内地质灾害防治的组织、协调、指导和监督工作。各级财政部门应加强对地质灾害防治经费的拨付和使用的监督。纪检监察部门要加强对地质灾害防治经费的使用情况的监督。要确保地质灾害防治资金的到位和专款专用，严格制止地质灾害防治资金的侵占和挪用行为。</w:t>
      </w:r>
    </w:p>
    <w:p>
      <w:pPr>
        <w:pStyle w:val="5"/>
        <w:snapToGrid w:val="0"/>
        <w:spacing w:beforeLines="0"/>
        <w:jc w:val="center"/>
        <w:rPr>
          <w:rStyle w:val="95"/>
          <w:rFonts w:ascii="仿宋" w:hAnsi="仿宋" w:eastAsia="仿宋" w:cs="仿宋"/>
          <w:sz w:val="30"/>
        </w:rPr>
      </w:pPr>
      <w:bookmarkStart w:id="573" w:name="_Toc112080576"/>
      <w:bookmarkStart w:id="574" w:name="_Toc324613197"/>
      <w:bookmarkStart w:id="575" w:name="_Toc19339"/>
      <w:bookmarkStart w:id="576" w:name="_Toc27276"/>
      <w:bookmarkStart w:id="577" w:name="_Toc2598"/>
      <w:r>
        <w:rPr>
          <w:rStyle w:val="95"/>
          <w:rFonts w:hint="eastAsia" w:ascii="仿宋" w:hAnsi="仿宋" w:eastAsia="仿宋" w:cs="仿宋"/>
          <w:sz w:val="30"/>
        </w:rPr>
        <w:t>第三节 技术保障措施</w:t>
      </w:r>
      <w:bookmarkEnd w:id="573"/>
      <w:bookmarkEnd w:id="574"/>
      <w:bookmarkEnd w:id="575"/>
      <w:bookmarkEnd w:id="576"/>
      <w:bookmarkEnd w:id="577"/>
    </w:p>
    <w:p>
      <w:pPr>
        <w:snapToGrid w:val="0"/>
        <w:ind w:firstLine="560"/>
        <w:rPr>
          <w:rFonts w:ascii="仿宋" w:hAnsi="仿宋" w:eastAsia="仿宋" w:cs="仿宋"/>
          <w:sz w:val="28"/>
          <w:szCs w:val="28"/>
        </w:rPr>
      </w:pPr>
      <w:r>
        <w:rPr>
          <w:rFonts w:hint="eastAsia" w:ascii="仿宋" w:hAnsi="仿宋" w:eastAsia="仿宋" w:cs="仿宋"/>
          <w:sz w:val="28"/>
          <w:szCs w:val="28"/>
        </w:rPr>
        <w:t>面对地质灾害的严峻形势，必须加强地质灾害防治工作的技术投入，不断提高地质灾害监测预报、抗灾应急和综合防治的水平。要广泛应用地学科研成果为地质灾害防治工作服务，除了采用传统的群测群防的方法外，重视现代科学技术方法和手段，特别是现代遥感技术、信息技术和工程技术在地质灾害防治工作中的应用，尽快改变目前地质灾害防治科技含量不高的现状。要引进具有扎实的地质灾害防治经验的专业技术人员，也可出资与地质灾害防治也可出资与科研单位、生产单位与高等院校定向结对，充分发挥其技术优势，弥补地质灾害防治工作技术力量薄弱和专业技术人员短缺等问题，解决地质灾害防治工作中的关键技术问题和难题。</w:t>
      </w:r>
    </w:p>
    <w:p>
      <w:pPr>
        <w:pStyle w:val="5"/>
        <w:snapToGrid w:val="0"/>
        <w:spacing w:beforeLines="0"/>
        <w:jc w:val="center"/>
        <w:rPr>
          <w:rStyle w:val="95"/>
          <w:rFonts w:ascii="仿宋" w:hAnsi="仿宋" w:eastAsia="仿宋" w:cs="仿宋"/>
          <w:sz w:val="30"/>
        </w:rPr>
      </w:pPr>
      <w:bookmarkStart w:id="578" w:name="_Toc22895"/>
      <w:bookmarkStart w:id="579" w:name="_Toc11388"/>
      <w:bookmarkStart w:id="580" w:name="_Toc14116"/>
      <w:r>
        <w:rPr>
          <w:rStyle w:val="95"/>
          <w:rFonts w:hint="eastAsia" w:ascii="仿宋" w:hAnsi="仿宋" w:eastAsia="仿宋" w:cs="仿宋"/>
          <w:sz w:val="30"/>
        </w:rPr>
        <w:t>第四节 严格监督评估</w:t>
      </w:r>
      <w:bookmarkEnd w:id="578"/>
      <w:bookmarkEnd w:id="579"/>
      <w:bookmarkEnd w:id="580"/>
    </w:p>
    <w:p>
      <w:pPr>
        <w:snapToGrid w:val="0"/>
        <w:ind w:firstLine="560"/>
        <w:rPr>
          <w:rFonts w:ascii="仿宋" w:hAnsi="仿宋" w:eastAsia="仿宋" w:cs="仿宋"/>
          <w:sz w:val="28"/>
          <w:szCs w:val="28"/>
        </w:rPr>
      </w:pPr>
      <w:r>
        <w:rPr>
          <w:rFonts w:hint="eastAsia" w:ascii="仿宋" w:hAnsi="仿宋" w:eastAsia="仿宋" w:cs="仿宋"/>
          <w:sz w:val="28"/>
          <w:szCs w:val="28"/>
        </w:rPr>
        <w:t>建立规划实施的管理、监测和评估制度，将地质灾害防治规划工作落实情况纳入各级政府和有关部门重要议事日程，作为政策奖补、惩戒的重要依据。各部门要严格落实规划实施中期和终期评估，确保规划内容、过程、结果可控。加大政务公开力度，增强地质灾害防治工作的透明度和公众知情权。对监督不力、责任落实不到位的，依法严肃追责问责。</w:t>
      </w:r>
    </w:p>
    <w:p>
      <w:pPr>
        <w:pStyle w:val="5"/>
        <w:snapToGrid w:val="0"/>
        <w:spacing w:beforeLines="0"/>
        <w:jc w:val="center"/>
        <w:rPr>
          <w:rStyle w:val="95"/>
          <w:rFonts w:ascii="仿宋" w:hAnsi="仿宋" w:eastAsia="仿宋" w:cs="仿宋"/>
          <w:sz w:val="30"/>
        </w:rPr>
      </w:pPr>
      <w:bookmarkStart w:id="581" w:name="_Toc22873"/>
      <w:bookmarkStart w:id="582" w:name="_Toc4278"/>
      <w:bookmarkStart w:id="583" w:name="_Toc2155"/>
      <w:r>
        <w:rPr>
          <w:rStyle w:val="95"/>
          <w:rFonts w:hint="eastAsia" w:ascii="仿宋" w:hAnsi="仿宋" w:eastAsia="仿宋" w:cs="仿宋"/>
          <w:sz w:val="30"/>
        </w:rPr>
        <w:t>第五节 做好宣传引导</w:t>
      </w:r>
      <w:bookmarkEnd w:id="581"/>
      <w:bookmarkEnd w:id="582"/>
      <w:bookmarkEnd w:id="583"/>
    </w:p>
    <w:p>
      <w:pPr>
        <w:snapToGrid w:val="0"/>
        <w:ind w:firstLine="560"/>
        <w:rPr>
          <w:rFonts w:ascii="仿宋" w:hAnsi="仿宋" w:eastAsia="仿宋" w:cs="仿宋"/>
          <w:sz w:val="28"/>
          <w:szCs w:val="28"/>
        </w:rPr>
      </w:pPr>
      <w:r>
        <w:rPr>
          <w:rFonts w:hint="eastAsia" w:ascii="仿宋" w:hAnsi="仿宋" w:eastAsia="仿宋" w:cs="仿宋"/>
          <w:sz w:val="28"/>
          <w:szCs w:val="28"/>
        </w:rPr>
        <w:t>充分运用广播、电视、报刊、网络、微博、微信、短视频等融媒体平台，加大地质灾害防治知识宣传教育力度，进一步增强公众对防灾避险抗灾的认识，推动地质灾害全民共防。及时总结推广地质灾害防治的先进典型和创新举措，建立社会公众观摩地质灾害防治工程宣传教育模式，营造全社会参与防灾减灾的良好氛围。</w:t>
      </w:r>
      <w:bookmarkEnd w:id="565"/>
      <w:bookmarkEnd w:id="566"/>
      <w:bookmarkEnd w:id="567"/>
      <w:bookmarkEnd w:id="568"/>
      <w:bookmarkEnd w:id="569"/>
    </w:p>
    <w:sectPr>
      <w:headerReference r:id="rId10" w:type="default"/>
      <w:footerReference r:id="rId11" w:type="default"/>
      <w:pgSz w:w="11906" w:h="16838"/>
      <w:pgMar w:top="1701" w:right="1531" w:bottom="1474" w:left="1531" w:header="907" w:footer="907" w:gutter="0"/>
      <w:pgNumType w:start="1"/>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小标宋简体">
    <w:altName w:val="黑体"/>
    <w:panose1 w:val="03000509000000000000"/>
    <w:charset w:val="86"/>
    <w:family w:val="auto"/>
    <w:pitch w:val="default"/>
    <w:sig w:usb0="00000000" w:usb1="00000000" w:usb2="00000000" w:usb3="00000000" w:csb0="00040000"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0" w:firstLineChars="0"/>
                          </w:pPr>
                          <w:r>
                            <w:fldChar w:fldCharType="begin"/>
                          </w:r>
                          <w:r>
                            <w:instrText xml:space="preserve"> PAGE  \* MERGEFORMAT </w:instrText>
                          </w:r>
                          <w:r>
                            <w:fldChar w:fldCharType="separate"/>
                          </w:r>
                          <w:r>
                            <w:t>XI</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6xLqRzAEAAJ0DAAAOAAAAAAAAAAEAIAAAAB4BAABkcnMvZTJv&#10;RG9jLnhtbFBLBQYAAAAABgAGAFkBAABcBQAAAAA=&#10;">
              <v:fill on="f" focussize="0,0"/>
              <v:stroke on="f"/>
              <v:imagedata o:title=""/>
              <o:lock v:ext="edit" aspectratio="f"/>
              <v:textbox inset="0mm,0mm,0mm,0mm" style="mso-fit-shape-to-text:t;">
                <w:txbxContent>
                  <w:p>
                    <w:pPr>
                      <w:pStyle w:val="22"/>
                      <w:ind w:firstLine="0" w:firstLineChars="0"/>
                    </w:pPr>
                    <w:r>
                      <w:fldChar w:fldCharType="begin"/>
                    </w:r>
                    <w:r>
                      <w:instrText xml:space="preserve"> PAGE  \* MERGEFORMAT </w:instrText>
                    </w:r>
                    <w:r>
                      <w:fldChar w:fldCharType="separate"/>
                    </w:r>
                    <w:r>
                      <w:t>XI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pPr>
    <w:r>
      <w:fldChar w:fldCharType="begin"/>
    </w:r>
    <w:r>
      <w:instrText xml:space="preserve"> PAGE   \* MERGEFORMAT </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spacing w:line="240" w:lineRule="auto"/>
      <w:ind w:firstLine="36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3ODU0ZDBmNzEwZDFmMDRmOGUxZGY3MGQ1NDVmZWQifQ=="/>
  </w:docVars>
  <w:rsids>
    <w:rsidRoot w:val="00D2764D"/>
    <w:rsid w:val="00001067"/>
    <w:rsid w:val="0000499E"/>
    <w:rsid w:val="0000687F"/>
    <w:rsid w:val="00006E42"/>
    <w:rsid w:val="00007A22"/>
    <w:rsid w:val="00010F98"/>
    <w:rsid w:val="00011602"/>
    <w:rsid w:val="00011D25"/>
    <w:rsid w:val="00013C4F"/>
    <w:rsid w:val="00016416"/>
    <w:rsid w:val="00016485"/>
    <w:rsid w:val="00016539"/>
    <w:rsid w:val="00020270"/>
    <w:rsid w:val="00020939"/>
    <w:rsid w:val="00020C19"/>
    <w:rsid w:val="00022588"/>
    <w:rsid w:val="00023D36"/>
    <w:rsid w:val="00024753"/>
    <w:rsid w:val="00024F01"/>
    <w:rsid w:val="0002504F"/>
    <w:rsid w:val="000254F8"/>
    <w:rsid w:val="0002658C"/>
    <w:rsid w:val="000277F1"/>
    <w:rsid w:val="00030CA9"/>
    <w:rsid w:val="000316BA"/>
    <w:rsid w:val="00032D9F"/>
    <w:rsid w:val="000347F2"/>
    <w:rsid w:val="00035006"/>
    <w:rsid w:val="00037161"/>
    <w:rsid w:val="0003791A"/>
    <w:rsid w:val="00040339"/>
    <w:rsid w:val="00040627"/>
    <w:rsid w:val="00040E26"/>
    <w:rsid w:val="0004135B"/>
    <w:rsid w:val="00042164"/>
    <w:rsid w:val="000422CE"/>
    <w:rsid w:val="0004352E"/>
    <w:rsid w:val="00044F25"/>
    <w:rsid w:val="000460D6"/>
    <w:rsid w:val="00047482"/>
    <w:rsid w:val="00050892"/>
    <w:rsid w:val="00053465"/>
    <w:rsid w:val="00055B1A"/>
    <w:rsid w:val="000604C2"/>
    <w:rsid w:val="00060B26"/>
    <w:rsid w:val="00063B84"/>
    <w:rsid w:val="00064A14"/>
    <w:rsid w:val="00064D94"/>
    <w:rsid w:val="00065772"/>
    <w:rsid w:val="00065B9D"/>
    <w:rsid w:val="000666A5"/>
    <w:rsid w:val="00071128"/>
    <w:rsid w:val="0007326B"/>
    <w:rsid w:val="00073E3F"/>
    <w:rsid w:val="00075670"/>
    <w:rsid w:val="00075E16"/>
    <w:rsid w:val="00075FFA"/>
    <w:rsid w:val="00077042"/>
    <w:rsid w:val="00080599"/>
    <w:rsid w:val="000813F9"/>
    <w:rsid w:val="000827A9"/>
    <w:rsid w:val="000832F5"/>
    <w:rsid w:val="00084D1E"/>
    <w:rsid w:val="00084D49"/>
    <w:rsid w:val="00084F8C"/>
    <w:rsid w:val="000862EF"/>
    <w:rsid w:val="0008668B"/>
    <w:rsid w:val="00092765"/>
    <w:rsid w:val="000935E2"/>
    <w:rsid w:val="00093EE5"/>
    <w:rsid w:val="0009626A"/>
    <w:rsid w:val="0009666D"/>
    <w:rsid w:val="000967D2"/>
    <w:rsid w:val="00096F69"/>
    <w:rsid w:val="00097885"/>
    <w:rsid w:val="000978DC"/>
    <w:rsid w:val="000A30B7"/>
    <w:rsid w:val="000A4F1A"/>
    <w:rsid w:val="000A59EF"/>
    <w:rsid w:val="000A6495"/>
    <w:rsid w:val="000B1C6B"/>
    <w:rsid w:val="000B295F"/>
    <w:rsid w:val="000B423B"/>
    <w:rsid w:val="000B5341"/>
    <w:rsid w:val="000B58F6"/>
    <w:rsid w:val="000B660B"/>
    <w:rsid w:val="000B6BE4"/>
    <w:rsid w:val="000B785D"/>
    <w:rsid w:val="000C1DE2"/>
    <w:rsid w:val="000C20AB"/>
    <w:rsid w:val="000C2690"/>
    <w:rsid w:val="000C27D2"/>
    <w:rsid w:val="000C3643"/>
    <w:rsid w:val="000C37CE"/>
    <w:rsid w:val="000C3B46"/>
    <w:rsid w:val="000C654A"/>
    <w:rsid w:val="000C6D62"/>
    <w:rsid w:val="000D06EF"/>
    <w:rsid w:val="000D0834"/>
    <w:rsid w:val="000D0FA7"/>
    <w:rsid w:val="000D1979"/>
    <w:rsid w:val="000D25F8"/>
    <w:rsid w:val="000D6E64"/>
    <w:rsid w:val="000D7C54"/>
    <w:rsid w:val="000E1EB0"/>
    <w:rsid w:val="000E44FD"/>
    <w:rsid w:val="000E4DD9"/>
    <w:rsid w:val="000F03D3"/>
    <w:rsid w:val="000F515D"/>
    <w:rsid w:val="000F74AA"/>
    <w:rsid w:val="0010062C"/>
    <w:rsid w:val="0010084E"/>
    <w:rsid w:val="00101DA0"/>
    <w:rsid w:val="001029EA"/>
    <w:rsid w:val="00102EA0"/>
    <w:rsid w:val="00102EE5"/>
    <w:rsid w:val="00104AF1"/>
    <w:rsid w:val="001051E2"/>
    <w:rsid w:val="00110256"/>
    <w:rsid w:val="0011033B"/>
    <w:rsid w:val="00113E1F"/>
    <w:rsid w:val="00114964"/>
    <w:rsid w:val="00120234"/>
    <w:rsid w:val="00120F50"/>
    <w:rsid w:val="00121698"/>
    <w:rsid w:val="0012192E"/>
    <w:rsid w:val="001248AE"/>
    <w:rsid w:val="00126C49"/>
    <w:rsid w:val="00127496"/>
    <w:rsid w:val="00131944"/>
    <w:rsid w:val="00132E9E"/>
    <w:rsid w:val="0013461A"/>
    <w:rsid w:val="001347FB"/>
    <w:rsid w:val="00134BB6"/>
    <w:rsid w:val="00135802"/>
    <w:rsid w:val="00136072"/>
    <w:rsid w:val="0013670E"/>
    <w:rsid w:val="0013681C"/>
    <w:rsid w:val="00141260"/>
    <w:rsid w:val="00142CDA"/>
    <w:rsid w:val="00144575"/>
    <w:rsid w:val="00146826"/>
    <w:rsid w:val="00147648"/>
    <w:rsid w:val="00150544"/>
    <w:rsid w:val="00150704"/>
    <w:rsid w:val="00150D95"/>
    <w:rsid w:val="00152598"/>
    <w:rsid w:val="00154619"/>
    <w:rsid w:val="00155769"/>
    <w:rsid w:val="00156CA6"/>
    <w:rsid w:val="001574E3"/>
    <w:rsid w:val="0016025F"/>
    <w:rsid w:val="001606E0"/>
    <w:rsid w:val="00162441"/>
    <w:rsid w:val="00163733"/>
    <w:rsid w:val="00164251"/>
    <w:rsid w:val="00164A4B"/>
    <w:rsid w:val="00165806"/>
    <w:rsid w:val="00165AAA"/>
    <w:rsid w:val="00170CAE"/>
    <w:rsid w:val="001740CF"/>
    <w:rsid w:val="00175FC8"/>
    <w:rsid w:val="001763B9"/>
    <w:rsid w:val="00176497"/>
    <w:rsid w:val="00176955"/>
    <w:rsid w:val="00176BB2"/>
    <w:rsid w:val="001815E3"/>
    <w:rsid w:val="001829DE"/>
    <w:rsid w:val="00182C20"/>
    <w:rsid w:val="0018406F"/>
    <w:rsid w:val="001849A1"/>
    <w:rsid w:val="00185478"/>
    <w:rsid w:val="001857C8"/>
    <w:rsid w:val="00186489"/>
    <w:rsid w:val="00187557"/>
    <w:rsid w:val="0019070A"/>
    <w:rsid w:val="00190728"/>
    <w:rsid w:val="001931BC"/>
    <w:rsid w:val="00193252"/>
    <w:rsid w:val="00193A0F"/>
    <w:rsid w:val="00195A05"/>
    <w:rsid w:val="00197334"/>
    <w:rsid w:val="001A0BA4"/>
    <w:rsid w:val="001A1F6F"/>
    <w:rsid w:val="001A48DC"/>
    <w:rsid w:val="001A5046"/>
    <w:rsid w:val="001A5B0D"/>
    <w:rsid w:val="001A5BDA"/>
    <w:rsid w:val="001A6562"/>
    <w:rsid w:val="001A69B6"/>
    <w:rsid w:val="001A77A5"/>
    <w:rsid w:val="001B2288"/>
    <w:rsid w:val="001B3895"/>
    <w:rsid w:val="001B39ED"/>
    <w:rsid w:val="001B4B2D"/>
    <w:rsid w:val="001B4DBB"/>
    <w:rsid w:val="001B4F3C"/>
    <w:rsid w:val="001B5716"/>
    <w:rsid w:val="001B5938"/>
    <w:rsid w:val="001B6912"/>
    <w:rsid w:val="001B6E54"/>
    <w:rsid w:val="001B7F4D"/>
    <w:rsid w:val="001C2EB2"/>
    <w:rsid w:val="001C3A90"/>
    <w:rsid w:val="001C3E58"/>
    <w:rsid w:val="001C4E9A"/>
    <w:rsid w:val="001C5185"/>
    <w:rsid w:val="001C6A7A"/>
    <w:rsid w:val="001C7B96"/>
    <w:rsid w:val="001D0A81"/>
    <w:rsid w:val="001D2889"/>
    <w:rsid w:val="001D2B73"/>
    <w:rsid w:val="001D35EA"/>
    <w:rsid w:val="001D400F"/>
    <w:rsid w:val="001D6344"/>
    <w:rsid w:val="001D742C"/>
    <w:rsid w:val="001E36D6"/>
    <w:rsid w:val="001E39E4"/>
    <w:rsid w:val="001E4530"/>
    <w:rsid w:val="001E5293"/>
    <w:rsid w:val="001E599B"/>
    <w:rsid w:val="001F13B3"/>
    <w:rsid w:val="001F2B0B"/>
    <w:rsid w:val="001F3E64"/>
    <w:rsid w:val="001F6AAA"/>
    <w:rsid w:val="001F736A"/>
    <w:rsid w:val="00200250"/>
    <w:rsid w:val="00200C01"/>
    <w:rsid w:val="00201169"/>
    <w:rsid w:val="002018AA"/>
    <w:rsid w:val="00204721"/>
    <w:rsid w:val="00204949"/>
    <w:rsid w:val="00205854"/>
    <w:rsid w:val="00206D47"/>
    <w:rsid w:val="00210B7A"/>
    <w:rsid w:val="00211839"/>
    <w:rsid w:val="00213204"/>
    <w:rsid w:val="0021450B"/>
    <w:rsid w:val="00214975"/>
    <w:rsid w:val="00215281"/>
    <w:rsid w:val="00217FD1"/>
    <w:rsid w:val="00221593"/>
    <w:rsid w:val="00222A72"/>
    <w:rsid w:val="00222CE0"/>
    <w:rsid w:val="00223304"/>
    <w:rsid w:val="002265A7"/>
    <w:rsid w:val="00227A01"/>
    <w:rsid w:val="0023009C"/>
    <w:rsid w:val="002375DD"/>
    <w:rsid w:val="00241D47"/>
    <w:rsid w:val="00242701"/>
    <w:rsid w:val="00242952"/>
    <w:rsid w:val="00243277"/>
    <w:rsid w:val="00244AED"/>
    <w:rsid w:val="00244F0F"/>
    <w:rsid w:val="00245D2D"/>
    <w:rsid w:val="002468AF"/>
    <w:rsid w:val="00246B8C"/>
    <w:rsid w:val="00251E68"/>
    <w:rsid w:val="00255086"/>
    <w:rsid w:val="00255160"/>
    <w:rsid w:val="0025564A"/>
    <w:rsid w:val="00256334"/>
    <w:rsid w:val="002565D6"/>
    <w:rsid w:val="00256634"/>
    <w:rsid w:val="00256861"/>
    <w:rsid w:val="002571C3"/>
    <w:rsid w:val="00257E58"/>
    <w:rsid w:val="00260A41"/>
    <w:rsid w:val="00261674"/>
    <w:rsid w:val="00262E26"/>
    <w:rsid w:val="00263039"/>
    <w:rsid w:val="002631EA"/>
    <w:rsid w:val="00263A63"/>
    <w:rsid w:val="00266B3A"/>
    <w:rsid w:val="00266D55"/>
    <w:rsid w:val="00273895"/>
    <w:rsid w:val="002779CD"/>
    <w:rsid w:val="00280790"/>
    <w:rsid w:val="002809A1"/>
    <w:rsid w:val="00280F35"/>
    <w:rsid w:val="002835C7"/>
    <w:rsid w:val="00283FE9"/>
    <w:rsid w:val="00284958"/>
    <w:rsid w:val="002851B3"/>
    <w:rsid w:val="002855D0"/>
    <w:rsid w:val="00286A25"/>
    <w:rsid w:val="00286BD6"/>
    <w:rsid w:val="002870C9"/>
    <w:rsid w:val="00290C6B"/>
    <w:rsid w:val="002910F5"/>
    <w:rsid w:val="00293640"/>
    <w:rsid w:val="00293B05"/>
    <w:rsid w:val="00293E18"/>
    <w:rsid w:val="00297D58"/>
    <w:rsid w:val="002A002B"/>
    <w:rsid w:val="002A1D4C"/>
    <w:rsid w:val="002A3B44"/>
    <w:rsid w:val="002A4A07"/>
    <w:rsid w:val="002A6E8B"/>
    <w:rsid w:val="002A6E9B"/>
    <w:rsid w:val="002B23AB"/>
    <w:rsid w:val="002B2BEA"/>
    <w:rsid w:val="002B2D94"/>
    <w:rsid w:val="002B2EA9"/>
    <w:rsid w:val="002B4E18"/>
    <w:rsid w:val="002B5AFB"/>
    <w:rsid w:val="002B652E"/>
    <w:rsid w:val="002B695B"/>
    <w:rsid w:val="002C048B"/>
    <w:rsid w:val="002C12A0"/>
    <w:rsid w:val="002C3EA0"/>
    <w:rsid w:val="002C61C2"/>
    <w:rsid w:val="002C76C6"/>
    <w:rsid w:val="002C7FC7"/>
    <w:rsid w:val="002D30A3"/>
    <w:rsid w:val="002D4172"/>
    <w:rsid w:val="002D445F"/>
    <w:rsid w:val="002D66E8"/>
    <w:rsid w:val="002D6E42"/>
    <w:rsid w:val="002E0B9C"/>
    <w:rsid w:val="002E1D96"/>
    <w:rsid w:val="002E2B11"/>
    <w:rsid w:val="002E368D"/>
    <w:rsid w:val="002E36EA"/>
    <w:rsid w:val="002E3F91"/>
    <w:rsid w:val="002F1778"/>
    <w:rsid w:val="002F25C5"/>
    <w:rsid w:val="002F2A80"/>
    <w:rsid w:val="002F32F4"/>
    <w:rsid w:val="002F5067"/>
    <w:rsid w:val="002F77DA"/>
    <w:rsid w:val="00300FF4"/>
    <w:rsid w:val="00301001"/>
    <w:rsid w:val="003029F0"/>
    <w:rsid w:val="00303577"/>
    <w:rsid w:val="003037BB"/>
    <w:rsid w:val="00304F3A"/>
    <w:rsid w:val="003054B0"/>
    <w:rsid w:val="00306637"/>
    <w:rsid w:val="00306B34"/>
    <w:rsid w:val="00306DB9"/>
    <w:rsid w:val="00306FCA"/>
    <w:rsid w:val="0030754E"/>
    <w:rsid w:val="0031019D"/>
    <w:rsid w:val="00310B41"/>
    <w:rsid w:val="00310D8B"/>
    <w:rsid w:val="00311622"/>
    <w:rsid w:val="003135B8"/>
    <w:rsid w:val="00314401"/>
    <w:rsid w:val="0031584D"/>
    <w:rsid w:val="003160FA"/>
    <w:rsid w:val="00316D44"/>
    <w:rsid w:val="00316FA2"/>
    <w:rsid w:val="003200D1"/>
    <w:rsid w:val="003204C9"/>
    <w:rsid w:val="00320D19"/>
    <w:rsid w:val="003223A0"/>
    <w:rsid w:val="003235EE"/>
    <w:rsid w:val="0032534E"/>
    <w:rsid w:val="00326DB4"/>
    <w:rsid w:val="00327E8C"/>
    <w:rsid w:val="00332657"/>
    <w:rsid w:val="0033362A"/>
    <w:rsid w:val="00334D41"/>
    <w:rsid w:val="00335F60"/>
    <w:rsid w:val="00337783"/>
    <w:rsid w:val="00337885"/>
    <w:rsid w:val="003425E4"/>
    <w:rsid w:val="00342C96"/>
    <w:rsid w:val="00342D14"/>
    <w:rsid w:val="00342DC4"/>
    <w:rsid w:val="00343621"/>
    <w:rsid w:val="003449B4"/>
    <w:rsid w:val="003457A5"/>
    <w:rsid w:val="0034757A"/>
    <w:rsid w:val="00347B52"/>
    <w:rsid w:val="00351C5D"/>
    <w:rsid w:val="00351E67"/>
    <w:rsid w:val="00351F67"/>
    <w:rsid w:val="00352E93"/>
    <w:rsid w:val="00353359"/>
    <w:rsid w:val="003534FA"/>
    <w:rsid w:val="00353FFE"/>
    <w:rsid w:val="003565E9"/>
    <w:rsid w:val="0035691C"/>
    <w:rsid w:val="00357EAC"/>
    <w:rsid w:val="00360E82"/>
    <w:rsid w:val="00362F7C"/>
    <w:rsid w:val="003640C0"/>
    <w:rsid w:val="0036442C"/>
    <w:rsid w:val="00364477"/>
    <w:rsid w:val="00364629"/>
    <w:rsid w:val="003647B2"/>
    <w:rsid w:val="003706EF"/>
    <w:rsid w:val="003728AC"/>
    <w:rsid w:val="0037355E"/>
    <w:rsid w:val="00374530"/>
    <w:rsid w:val="0037471A"/>
    <w:rsid w:val="003758B6"/>
    <w:rsid w:val="00382784"/>
    <w:rsid w:val="00383507"/>
    <w:rsid w:val="00383A6C"/>
    <w:rsid w:val="00383A6F"/>
    <w:rsid w:val="00383F22"/>
    <w:rsid w:val="0038607E"/>
    <w:rsid w:val="00390030"/>
    <w:rsid w:val="003906DE"/>
    <w:rsid w:val="00390848"/>
    <w:rsid w:val="0039117A"/>
    <w:rsid w:val="003919C5"/>
    <w:rsid w:val="00392094"/>
    <w:rsid w:val="003921D2"/>
    <w:rsid w:val="003922AC"/>
    <w:rsid w:val="00394151"/>
    <w:rsid w:val="003947A3"/>
    <w:rsid w:val="003958EA"/>
    <w:rsid w:val="00396E69"/>
    <w:rsid w:val="00397643"/>
    <w:rsid w:val="003A04DC"/>
    <w:rsid w:val="003A05D2"/>
    <w:rsid w:val="003A0B98"/>
    <w:rsid w:val="003A1106"/>
    <w:rsid w:val="003A1BA0"/>
    <w:rsid w:val="003A312E"/>
    <w:rsid w:val="003A31CD"/>
    <w:rsid w:val="003A4251"/>
    <w:rsid w:val="003A42FD"/>
    <w:rsid w:val="003A5999"/>
    <w:rsid w:val="003A620D"/>
    <w:rsid w:val="003B0210"/>
    <w:rsid w:val="003B1E20"/>
    <w:rsid w:val="003B3312"/>
    <w:rsid w:val="003B452C"/>
    <w:rsid w:val="003B61F5"/>
    <w:rsid w:val="003B62E0"/>
    <w:rsid w:val="003B7C4D"/>
    <w:rsid w:val="003B7F8E"/>
    <w:rsid w:val="003C0150"/>
    <w:rsid w:val="003C0828"/>
    <w:rsid w:val="003C0C52"/>
    <w:rsid w:val="003C1832"/>
    <w:rsid w:val="003C2EBB"/>
    <w:rsid w:val="003C474D"/>
    <w:rsid w:val="003C5590"/>
    <w:rsid w:val="003D1003"/>
    <w:rsid w:val="003D1A1B"/>
    <w:rsid w:val="003D1BE5"/>
    <w:rsid w:val="003D2BD8"/>
    <w:rsid w:val="003D370E"/>
    <w:rsid w:val="003D456D"/>
    <w:rsid w:val="003D5980"/>
    <w:rsid w:val="003D6710"/>
    <w:rsid w:val="003D7983"/>
    <w:rsid w:val="003D7ABA"/>
    <w:rsid w:val="003D7CAD"/>
    <w:rsid w:val="003E0AE4"/>
    <w:rsid w:val="003E3658"/>
    <w:rsid w:val="003E4EF4"/>
    <w:rsid w:val="003E5230"/>
    <w:rsid w:val="003E5944"/>
    <w:rsid w:val="003F03F4"/>
    <w:rsid w:val="003F04F2"/>
    <w:rsid w:val="003F11BB"/>
    <w:rsid w:val="003F1436"/>
    <w:rsid w:val="003F14CE"/>
    <w:rsid w:val="003F33CF"/>
    <w:rsid w:val="003F41BA"/>
    <w:rsid w:val="003F42FE"/>
    <w:rsid w:val="003F4930"/>
    <w:rsid w:val="003F4BC7"/>
    <w:rsid w:val="003F4D81"/>
    <w:rsid w:val="003F55F4"/>
    <w:rsid w:val="003F6839"/>
    <w:rsid w:val="003F7A87"/>
    <w:rsid w:val="00400563"/>
    <w:rsid w:val="00400BD3"/>
    <w:rsid w:val="00401924"/>
    <w:rsid w:val="0040240D"/>
    <w:rsid w:val="00404A1E"/>
    <w:rsid w:val="00411524"/>
    <w:rsid w:val="004141F3"/>
    <w:rsid w:val="00414983"/>
    <w:rsid w:val="00414AEA"/>
    <w:rsid w:val="00415CBB"/>
    <w:rsid w:val="004170E5"/>
    <w:rsid w:val="00417919"/>
    <w:rsid w:val="004209F1"/>
    <w:rsid w:val="0042202D"/>
    <w:rsid w:val="00423B90"/>
    <w:rsid w:val="0042551E"/>
    <w:rsid w:val="00426559"/>
    <w:rsid w:val="004266B8"/>
    <w:rsid w:val="0043036F"/>
    <w:rsid w:val="0043041F"/>
    <w:rsid w:val="004310E4"/>
    <w:rsid w:val="00431DFA"/>
    <w:rsid w:val="00432295"/>
    <w:rsid w:val="00432D0A"/>
    <w:rsid w:val="00433381"/>
    <w:rsid w:val="004333E4"/>
    <w:rsid w:val="0043377F"/>
    <w:rsid w:val="004349D4"/>
    <w:rsid w:val="0044333B"/>
    <w:rsid w:val="0044437C"/>
    <w:rsid w:val="0044442F"/>
    <w:rsid w:val="00444D79"/>
    <w:rsid w:val="00450AE0"/>
    <w:rsid w:val="0045221D"/>
    <w:rsid w:val="004527D2"/>
    <w:rsid w:val="00452E49"/>
    <w:rsid w:val="00453169"/>
    <w:rsid w:val="00454B40"/>
    <w:rsid w:val="00454CF6"/>
    <w:rsid w:val="00455425"/>
    <w:rsid w:val="00455DC7"/>
    <w:rsid w:val="004573A6"/>
    <w:rsid w:val="004607C0"/>
    <w:rsid w:val="004608E6"/>
    <w:rsid w:val="00460B3F"/>
    <w:rsid w:val="004615C7"/>
    <w:rsid w:val="004619F2"/>
    <w:rsid w:val="00462F84"/>
    <w:rsid w:val="004630AF"/>
    <w:rsid w:val="00463260"/>
    <w:rsid w:val="00464E12"/>
    <w:rsid w:val="0046582C"/>
    <w:rsid w:val="00465B9C"/>
    <w:rsid w:val="00467B70"/>
    <w:rsid w:val="00470DD5"/>
    <w:rsid w:val="00470EA5"/>
    <w:rsid w:val="00471E93"/>
    <w:rsid w:val="00472699"/>
    <w:rsid w:val="004730E6"/>
    <w:rsid w:val="00474675"/>
    <w:rsid w:val="004762DF"/>
    <w:rsid w:val="00477611"/>
    <w:rsid w:val="0048021B"/>
    <w:rsid w:val="00482D73"/>
    <w:rsid w:val="00483530"/>
    <w:rsid w:val="00483776"/>
    <w:rsid w:val="00483C08"/>
    <w:rsid w:val="00483F9A"/>
    <w:rsid w:val="0048529F"/>
    <w:rsid w:val="00485FD1"/>
    <w:rsid w:val="004867F2"/>
    <w:rsid w:val="00492E52"/>
    <w:rsid w:val="004938BC"/>
    <w:rsid w:val="00496A0D"/>
    <w:rsid w:val="00496B4C"/>
    <w:rsid w:val="00497187"/>
    <w:rsid w:val="00497243"/>
    <w:rsid w:val="004972D8"/>
    <w:rsid w:val="004A085A"/>
    <w:rsid w:val="004A09F5"/>
    <w:rsid w:val="004A2063"/>
    <w:rsid w:val="004A2E6E"/>
    <w:rsid w:val="004A32C5"/>
    <w:rsid w:val="004B0A05"/>
    <w:rsid w:val="004B10FF"/>
    <w:rsid w:val="004B1958"/>
    <w:rsid w:val="004B2CC8"/>
    <w:rsid w:val="004B3888"/>
    <w:rsid w:val="004B53F2"/>
    <w:rsid w:val="004B6152"/>
    <w:rsid w:val="004B675D"/>
    <w:rsid w:val="004B6FB0"/>
    <w:rsid w:val="004B72A9"/>
    <w:rsid w:val="004C1D13"/>
    <w:rsid w:val="004C4795"/>
    <w:rsid w:val="004C48FD"/>
    <w:rsid w:val="004C49B3"/>
    <w:rsid w:val="004D0A42"/>
    <w:rsid w:val="004D1103"/>
    <w:rsid w:val="004D17ED"/>
    <w:rsid w:val="004D3C3F"/>
    <w:rsid w:val="004D42EF"/>
    <w:rsid w:val="004D497E"/>
    <w:rsid w:val="004D5740"/>
    <w:rsid w:val="004D57E4"/>
    <w:rsid w:val="004D5C9E"/>
    <w:rsid w:val="004D7B0E"/>
    <w:rsid w:val="004E0FDD"/>
    <w:rsid w:val="004E2112"/>
    <w:rsid w:val="004E28BF"/>
    <w:rsid w:val="004E3513"/>
    <w:rsid w:val="004E3670"/>
    <w:rsid w:val="004E4F1A"/>
    <w:rsid w:val="004F055F"/>
    <w:rsid w:val="004F1DA9"/>
    <w:rsid w:val="004F3812"/>
    <w:rsid w:val="004F6851"/>
    <w:rsid w:val="004F6D4F"/>
    <w:rsid w:val="004F73F3"/>
    <w:rsid w:val="00500DB3"/>
    <w:rsid w:val="00501F80"/>
    <w:rsid w:val="005037B8"/>
    <w:rsid w:val="005049B7"/>
    <w:rsid w:val="005053D3"/>
    <w:rsid w:val="0050548B"/>
    <w:rsid w:val="00505931"/>
    <w:rsid w:val="005061BC"/>
    <w:rsid w:val="005067AF"/>
    <w:rsid w:val="0050682A"/>
    <w:rsid w:val="00506A39"/>
    <w:rsid w:val="005072EF"/>
    <w:rsid w:val="005073F8"/>
    <w:rsid w:val="00510530"/>
    <w:rsid w:val="005105B6"/>
    <w:rsid w:val="00513B1F"/>
    <w:rsid w:val="00513D22"/>
    <w:rsid w:val="00513DFA"/>
    <w:rsid w:val="005169F1"/>
    <w:rsid w:val="00520231"/>
    <w:rsid w:val="00521EF8"/>
    <w:rsid w:val="0052200F"/>
    <w:rsid w:val="00522250"/>
    <w:rsid w:val="0052533E"/>
    <w:rsid w:val="00527BD0"/>
    <w:rsid w:val="00530555"/>
    <w:rsid w:val="0053215B"/>
    <w:rsid w:val="00532EBD"/>
    <w:rsid w:val="0053317A"/>
    <w:rsid w:val="00536F3C"/>
    <w:rsid w:val="00537603"/>
    <w:rsid w:val="00537A53"/>
    <w:rsid w:val="00537E16"/>
    <w:rsid w:val="00537E21"/>
    <w:rsid w:val="00540356"/>
    <w:rsid w:val="00541E3A"/>
    <w:rsid w:val="00544206"/>
    <w:rsid w:val="00544937"/>
    <w:rsid w:val="00544C26"/>
    <w:rsid w:val="00546211"/>
    <w:rsid w:val="00546C99"/>
    <w:rsid w:val="005470D5"/>
    <w:rsid w:val="00547A5A"/>
    <w:rsid w:val="00547EB9"/>
    <w:rsid w:val="005504CF"/>
    <w:rsid w:val="00555592"/>
    <w:rsid w:val="00555F96"/>
    <w:rsid w:val="005605B0"/>
    <w:rsid w:val="0056112B"/>
    <w:rsid w:val="00562D73"/>
    <w:rsid w:val="00562E7A"/>
    <w:rsid w:val="00563DD4"/>
    <w:rsid w:val="00564216"/>
    <w:rsid w:val="005651BF"/>
    <w:rsid w:val="00572C65"/>
    <w:rsid w:val="00572E5C"/>
    <w:rsid w:val="005735BA"/>
    <w:rsid w:val="00574E19"/>
    <w:rsid w:val="005751A7"/>
    <w:rsid w:val="005754AD"/>
    <w:rsid w:val="00575EE9"/>
    <w:rsid w:val="00576230"/>
    <w:rsid w:val="00577E32"/>
    <w:rsid w:val="00580A47"/>
    <w:rsid w:val="005813E1"/>
    <w:rsid w:val="00581F46"/>
    <w:rsid w:val="00584C57"/>
    <w:rsid w:val="00585154"/>
    <w:rsid w:val="005865D1"/>
    <w:rsid w:val="005871A9"/>
    <w:rsid w:val="005915A2"/>
    <w:rsid w:val="00594937"/>
    <w:rsid w:val="00594943"/>
    <w:rsid w:val="005949F2"/>
    <w:rsid w:val="00594FE2"/>
    <w:rsid w:val="005966CA"/>
    <w:rsid w:val="00597EB0"/>
    <w:rsid w:val="005A1292"/>
    <w:rsid w:val="005A1635"/>
    <w:rsid w:val="005A2C6E"/>
    <w:rsid w:val="005A5A2D"/>
    <w:rsid w:val="005A682A"/>
    <w:rsid w:val="005A7655"/>
    <w:rsid w:val="005B0CF6"/>
    <w:rsid w:val="005B2445"/>
    <w:rsid w:val="005B3F5D"/>
    <w:rsid w:val="005B5F22"/>
    <w:rsid w:val="005B6BE4"/>
    <w:rsid w:val="005B7464"/>
    <w:rsid w:val="005B7634"/>
    <w:rsid w:val="005B7756"/>
    <w:rsid w:val="005C3DED"/>
    <w:rsid w:val="005C3FFC"/>
    <w:rsid w:val="005C40B7"/>
    <w:rsid w:val="005C4905"/>
    <w:rsid w:val="005C4C0F"/>
    <w:rsid w:val="005C5DD8"/>
    <w:rsid w:val="005D0015"/>
    <w:rsid w:val="005D2723"/>
    <w:rsid w:val="005D479A"/>
    <w:rsid w:val="005D52F3"/>
    <w:rsid w:val="005D5395"/>
    <w:rsid w:val="005D57DD"/>
    <w:rsid w:val="005D5862"/>
    <w:rsid w:val="005D75AE"/>
    <w:rsid w:val="005D7795"/>
    <w:rsid w:val="005D7BA9"/>
    <w:rsid w:val="005D7FD3"/>
    <w:rsid w:val="005E054F"/>
    <w:rsid w:val="005E0E29"/>
    <w:rsid w:val="005E2299"/>
    <w:rsid w:val="005E2C5A"/>
    <w:rsid w:val="005E36E1"/>
    <w:rsid w:val="005E4FBF"/>
    <w:rsid w:val="005E53EF"/>
    <w:rsid w:val="005E56D3"/>
    <w:rsid w:val="005E58B7"/>
    <w:rsid w:val="005E6915"/>
    <w:rsid w:val="005F1B23"/>
    <w:rsid w:val="005F307B"/>
    <w:rsid w:val="005F41AE"/>
    <w:rsid w:val="005F4664"/>
    <w:rsid w:val="005F4C8F"/>
    <w:rsid w:val="005F6529"/>
    <w:rsid w:val="005F6669"/>
    <w:rsid w:val="005F7737"/>
    <w:rsid w:val="00600B6C"/>
    <w:rsid w:val="00602B17"/>
    <w:rsid w:val="006032F0"/>
    <w:rsid w:val="00604617"/>
    <w:rsid w:val="00605509"/>
    <w:rsid w:val="00605D25"/>
    <w:rsid w:val="00607E9C"/>
    <w:rsid w:val="0061064B"/>
    <w:rsid w:val="006108B9"/>
    <w:rsid w:val="00611D3C"/>
    <w:rsid w:val="006132B6"/>
    <w:rsid w:val="00613E65"/>
    <w:rsid w:val="006140A4"/>
    <w:rsid w:val="00616CCB"/>
    <w:rsid w:val="00617385"/>
    <w:rsid w:val="00617708"/>
    <w:rsid w:val="00622750"/>
    <w:rsid w:val="00624590"/>
    <w:rsid w:val="0062571C"/>
    <w:rsid w:val="006270B1"/>
    <w:rsid w:val="00627BA7"/>
    <w:rsid w:val="006303C6"/>
    <w:rsid w:val="006303F6"/>
    <w:rsid w:val="00630A29"/>
    <w:rsid w:val="00634B3A"/>
    <w:rsid w:val="00635AC7"/>
    <w:rsid w:val="0063739C"/>
    <w:rsid w:val="00637EA2"/>
    <w:rsid w:val="00637F97"/>
    <w:rsid w:val="006405A0"/>
    <w:rsid w:val="006423EA"/>
    <w:rsid w:val="0064243C"/>
    <w:rsid w:val="00642447"/>
    <w:rsid w:val="0064251C"/>
    <w:rsid w:val="00643653"/>
    <w:rsid w:val="006462B1"/>
    <w:rsid w:val="006468C8"/>
    <w:rsid w:val="00646B0A"/>
    <w:rsid w:val="0064708E"/>
    <w:rsid w:val="00651B49"/>
    <w:rsid w:val="006526BD"/>
    <w:rsid w:val="00652E0D"/>
    <w:rsid w:val="006539A6"/>
    <w:rsid w:val="00653E35"/>
    <w:rsid w:val="00653F7B"/>
    <w:rsid w:val="00654215"/>
    <w:rsid w:val="00655219"/>
    <w:rsid w:val="00656043"/>
    <w:rsid w:val="00657915"/>
    <w:rsid w:val="00657EB0"/>
    <w:rsid w:val="00660C00"/>
    <w:rsid w:val="0066313A"/>
    <w:rsid w:val="00663158"/>
    <w:rsid w:val="00664192"/>
    <w:rsid w:val="00666383"/>
    <w:rsid w:val="00666AE5"/>
    <w:rsid w:val="00667DEA"/>
    <w:rsid w:val="00670748"/>
    <w:rsid w:val="006712CE"/>
    <w:rsid w:val="006724B9"/>
    <w:rsid w:val="006727C9"/>
    <w:rsid w:val="00675F11"/>
    <w:rsid w:val="00677480"/>
    <w:rsid w:val="00680BD8"/>
    <w:rsid w:val="00683D95"/>
    <w:rsid w:val="00684CC4"/>
    <w:rsid w:val="00687517"/>
    <w:rsid w:val="00690414"/>
    <w:rsid w:val="00690A0F"/>
    <w:rsid w:val="0069340E"/>
    <w:rsid w:val="00693732"/>
    <w:rsid w:val="00693FAB"/>
    <w:rsid w:val="00694427"/>
    <w:rsid w:val="0069448F"/>
    <w:rsid w:val="00697489"/>
    <w:rsid w:val="00697BD2"/>
    <w:rsid w:val="006A0CD3"/>
    <w:rsid w:val="006A513B"/>
    <w:rsid w:val="006A5C44"/>
    <w:rsid w:val="006A5EDE"/>
    <w:rsid w:val="006A7016"/>
    <w:rsid w:val="006A7384"/>
    <w:rsid w:val="006A7BF2"/>
    <w:rsid w:val="006B082E"/>
    <w:rsid w:val="006B2736"/>
    <w:rsid w:val="006B3915"/>
    <w:rsid w:val="006B3DA0"/>
    <w:rsid w:val="006B50F8"/>
    <w:rsid w:val="006B601C"/>
    <w:rsid w:val="006B6E1A"/>
    <w:rsid w:val="006B70CD"/>
    <w:rsid w:val="006B722A"/>
    <w:rsid w:val="006C141E"/>
    <w:rsid w:val="006C1FF7"/>
    <w:rsid w:val="006C25FF"/>
    <w:rsid w:val="006C3479"/>
    <w:rsid w:val="006C3969"/>
    <w:rsid w:val="006C3BAF"/>
    <w:rsid w:val="006C3D2C"/>
    <w:rsid w:val="006C3D83"/>
    <w:rsid w:val="006C5400"/>
    <w:rsid w:val="006C5ACE"/>
    <w:rsid w:val="006C5FD7"/>
    <w:rsid w:val="006D0D62"/>
    <w:rsid w:val="006D1C64"/>
    <w:rsid w:val="006D2D55"/>
    <w:rsid w:val="006D35EB"/>
    <w:rsid w:val="006D49D7"/>
    <w:rsid w:val="006D5432"/>
    <w:rsid w:val="006D5D69"/>
    <w:rsid w:val="006D71CE"/>
    <w:rsid w:val="006D7340"/>
    <w:rsid w:val="006E00DE"/>
    <w:rsid w:val="006E0297"/>
    <w:rsid w:val="006E0C2B"/>
    <w:rsid w:val="006E1124"/>
    <w:rsid w:val="006E18AD"/>
    <w:rsid w:val="006E2F2D"/>
    <w:rsid w:val="006E6149"/>
    <w:rsid w:val="006E63D9"/>
    <w:rsid w:val="006E641E"/>
    <w:rsid w:val="006E6B1E"/>
    <w:rsid w:val="006E7916"/>
    <w:rsid w:val="006F03E7"/>
    <w:rsid w:val="006F1109"/>
    <w:rsid w:val="006F1203"/>
    <w:rsid w:val="006F3263"/>
    <w:rsid w:val="006F4104"/>
    <w:rsid w:val="006F4FD1"/>
    <w:rsid w:val="006F5BC6"/>
    <w:rsid w:val="006F6436"/>
    <w:rsid w:val="006F7EFC"/>
    <w:rsid w:val="00700307"/>
    <w:rsid w:val="0070060D"/>
    <w:rsid w:val="00700720"/>
    <w:rsid w:val="0070078D"/>
    <w:rsid w:val="00703414"/>
    <w:rsid w:val="00703436"/>
    <w:rsid w:val="007034FE"/>
    <w:rsid w:val="0070378D"/>
    <w:rsid w:val="00704B50"/>
    <w:rsid w:val="007052D2"/>
    <w:rsid w:val="0070620E"/>
    <w:rsid w:val="00706F9D"/>
    <w:rsid w:val="007071C7"/>
    <w:rsid w:val="0070726E"/>
    <w:rsid w:val="007153C8"/>
    <w:rsid w:val="007179C5"/>
    <w:rsid w:val="00720F37"/>
    <w:rsid w:val="007226E6"/>
    <w:rsid w:val="00722A27"/>
    <w:rsid w:val="00723013"/>
    <w:rsid w:val="00724800"/>
    <w:rsid w:val="007251E4"/>
    <w:rsid w:val="007253B5"/>
    <w:rsid w:val="00726A59"/>
    <w:rsid w:val="00726FC9"/>
    <w:rsid w:val="007305F5"/>
    <w:rsid w:val="00730B7E"/>
    <w:rsid w:val="00732158"/>
    <w:rsid w:val="00732AF0"/>
    <w:rsid w:val="00732EAF"/>
    <w:rsid w:val="007331EB"/>
    <w:rsid w:val="00733807"/>
    <w:rsid w:val="00734E1F"/>
    <w:rsid w:val="00741D35"/>
    <w:rsid w:val="007425A9"/>
    <w:rsid w:val="00743069"/>
    <w:rsid w:val="0074334D"/>
    <w:rsid w:val="00743C8E"/>
    <w:rsid w:val="007445CA"/>
    <w:rsid w:val="00745F33"/>
    <w:rsid w:val="0075059D"/>
    <w:rsid w:val="00752900"/>
    <w:rsid w:val="007535A2"/>
    <w:rsid w:val="00757D24"/>
    <w:rsid w:val="0076010C"/>
    <w:rsid w:val="00761D17"/>
    <w:rsid w:val="007622B7"/>
    <w:rsid w:val="007629E7"/>
    <w:rsid w:val="00763C1A"/>
    <w:rsid w:val="00765801"/>
    <w:rsid w:val="00766578"/>
    <w:rsid w:val="00766DA5"/>
    <w:rsid w:val="007708EC"/>
    <w:rsid w:val="00770F10"/>
    <w:rsid w:val="00773277"/>
    <w:rsid w:val="00773E61"/>
    <w:rsid w:val="0077556B"/>
    <w:rsid w:val="00775948"/>
    <w:rsid w:val="00775F4E"/>
    <w:rsid w:val="007768AD"/>
    <w:rsid w:val="007802D4"/>
    <w:rsid w:val="00780389"/>
    <w:rsid w:val="00780895"/>
    <w:rsid w:val="00782258"/>
    <w:rsid w:val="00782463"/>
    <w:rsid w:val="007839DF"/>
    <w:rsid w:val="00783D6E"/>
    <w:rsid w:val="00785111"/>
    <w:rsid w:val="007853A9"/>
    <w:rsid w:val="00785973"/>
    <w:rsid w:val="00786584"/>
    <w:rsid w:val="00787940"/>
    <w:rsid w:val="0079045A"/>
    <w:rsid w:val="00792CBD"/>
    <w:rsid w:val="00792E0D"/>
    <w:rsid w:val="007958B8"/>
    <w:rsid w:val="0079616C"/>
    <w:rsid w:val="007961B4"/>
    <w:rsid w:val="007961F4"/>
    <w:rsid w:val="00796258"/>
    <w:rsid w:val="007962AD"/>
    <w:rsid w:val="00797C3E"/>
    <w:rsid w:val="007A1DD0"/>
    <w:rsid w:val="007A2816"/>
    <w:rsid w:val="007A49C7"/>
    <w:rsid w:val="007A64F6"/>
    <w:rsid w:val="007A7A95"/>
    <w:rsid w:val="007B2C8E"/>
    <w:rsid w:val="007B5085"/>
    <w:rsid w:val="007B5A0C"/>
    <w:rsid w:val="007B5AB7"/>
    <w:rsid w:val="007B5D7C"/>
    <w:rsid w:val="007B5E39"/>
    <w:rsid w:val="007B7F4A"/>
    <w:rsid w:val="007C0A40"/>
    <w:rsid w:val="007C15B2"/>
    <w:rsid w:val="007C19D1"/>
    <w:rsid w:val="007C1A3E"/>
    <w:rsid w:val="007C27E8"/>
    <w:rsid w:val="007C2ADC"/>
    <w:rsid w:val="007C4D58"/>
    <w:rsid w:val="007C50E5"/>
    <w:rsid w:val="007C5D2D"/>
    <w:rsid w:val="007C6173"/>
    <w:rsid w:val="007C6435"/>
    <w:rsid w:val="007C650D"/>
    <w:rsid w:val="007C670C"/>
    <w:rsid w:val="007C7AD7"/>
    <w:rsid w:val="007D022E"/>
    <w:rsid w:val="007D103B"/>
    <w:rsid w:val="007D245A"/>
    <w:rsid w:val="007D29A4"/>
    <w:rsid w:val="007D311A"/>
    <w:rsid w:val="007D3C5F"/>
    <w:rsid w:val="007D566D"/>
    <w:rsid w:val="007D7651"/>
    <w:rsid w:val="007D7696"/>
    <w:rsid w:val="007E0C63"/>
    <w:rsid w:val="007E3843"/>
    <w:rsid w:val="007E4006"/>
    <w:rsid w:val="007E4CF9"/>
    <w:rsid w:val="007E52F4"/>
    <w:rsid w:val="007F0169"/>
    <w:rsid w:val="007F0C37"/>
    <w:rsid w:val="007F0F85"/>
    <w:rsid w:val="007F1584"/>
    <w:rsid w:val="007F1837"/>
    <w:rsid w:val="007F19B5"/>
    <w:rsid w:val="007F2DD7"/>
    <w:rsid w:val="007F3618"/>
    <w:rsid w:val="007F6069"/>
    <w:rsid w:val="007F683F"/>
    <w:rsid w:val="007F7D27"/>
    <w:rsid w:val="00800CF2"/>
    <w:rsid w:val="008013C5"/>
    <w:rsid w:val="008016A0"/>
    <w:rsid w:val="00802996"/>
    <w:rsid w:val="00803515"/>
    <w:rsid w:val="0080389F"/>
    <w:rsid w:val="00805782"/>
    <w:rsid w:val="008066B0"/>
    <w:rsid w:val="00807139"/>
    <w:rsid w:val="00807184"/>
    <w:rsid w:val="00811218"/>
    <w:rsid w:val="00811238"/>
    <w:rsid w:val="00811B54"/>
    <w:rsid w:val="0081355B"/>
    <w:rsid w:val="00813846"/>
    <w:rsid w:val="00813B72"/>
    <w:rsid w:val="00814F7B"/>
    <w:rsid w:val="0081659D"/>
    <w:rsid w:val="008171E5"/>
    <w:rsid w:val="00817FA9"/>
    <w:rsid w:val="00822192"/>
    <w:rsid w:val="0082298A"/>
    <w:rsid w:val="00822C1C"/>
    <w:rsid w:val="00823275"/>
    <w:rsid w:val="00823AA7"/>
    <w:rsid w:val="00824B27"/>
    <w:rsid w:val="00825515"/>
    <w:rsid w:val="008327F8"/>
    <w:rsid w:val="0083364C"/>
    <w:rsid w:val="00834C29"/>
    <w:rsid w:val="00834D9F"/>
    <w:rsid w:val="0083552E"/>
    <w:rsid w:val="00835590"/>
    <w:rsid w:val="00837AED"/>
    <w:rsid w:val="008401A8"/>
    <w:rsid w:val="00840744"/>
    <w:rsid w:val="00841E6E"/>
    <w:rsid w:val="008440A8"/>
    <w:rsid w:val="00845324"/>
    <w:rsid w:val="00845E31"/>
    <w:rsid w:val="00847953"/>
    <w:rsid w:val="00850E2D"/>
    <w:rsid w:val="008511BB"/>
    <w:rsid w:val="00851370"/>
    <w:rsid w:val="00851FC1"/>
    <w:rsid w:val="008528CA"/>
    <w:rsid w:val="00852E26"/>
    <w:rsid w:val="00853249"/>
    <w:rsid w:val="008538BF"/>
    <w:rsid w:val="00855BCB"/>
    <w:rsid w:val="008560AF"/>
    <w:rsid w:val="00856143"/>
    <w:rsid w:val="0085625A"/>
    <w:rsid w:val="00857C75"/>
    <w:rsid w:val="008611D4"/>
    <w:rsid w:val="00862D0B"/>
    <w:rsid w:val="008638DB"/>
    <w:rsid w:val="00864204"/>
    <w:rsid w:val="008645D7"/>
    <w:rsid w:val="00865149"/>
    <w:rsid w:val="0086521C"/>
    <w:rsid w:val="00866A42"/>
    <w:rsid w:val="00870A7A"/>
    <w:rsid w:val="00870AE4"/>
    <w:rsid w:val="00871369"/>
    <w:rsid w:val="00872C21"/>
    <w:rsid w:val="00876604"/>
    <w:rsid w:val="00877CD1"/>
    <w:rsid w:val="00881980"/>
    <w:rsid w:val="008858B5"/>
    <w:rsid w:val="00890FF4"/>
    <w:rsid w:val="00891240"/>
    <w:rsid w:val="00891A78"/>
    <w:rsid w:val="00891CF8"/>
    <w:rsid w:val="00892C71"/>
    <w:rsid w:val="00893FB6"/>
    <w:rsid w:val="008942F8"/>
    <w:rsid w:val="008951AC"/>
    <w:rsid w:val="0089577F"/>
    <w:rsid w:val="00895BF3"/>
    <w:rsid w:val="00897272"/>
    <w:rsid w:val="008A106C"/>
    <w:rsid w:val="008A2D1E"/>
    <w:rsid w:val="008A546F"/>
    <w:rsid w:val="008A566B"/>
    <w:rsid w:val="008A69F6"/>
    <w:rsid w:val="008A6BD5"/>
    <w:rsid w:val="008B15E1"/>
    <w:rsid w:val="008B2D66"/>
    <w:rsid w:val="008B3510"/>
    <w:rsid w:val="008B37BB"/>
    <w:rsid w:val="008B64C4"/>
    <w:rsid w:val="008B7789"/>
    <w:rsid w:val="008C118D"/>
    <w:rsid w:val="008C1394"/>
    <w:rsid w:val="008C1F5C"/>
    <w:rsid w:val="008C37E8"/>
    <w:rsid w:val="008C3A1A"/>
    <w:rsid w:val="008C3EAB"/>
    <w:rsid w:val="008C45E7"/>
    <w:rsid w:val="008C4C1A"/>
    <w:rsid w:val="008C50D4"/>
    <w:rsid w:val="008C545B"/>
    <w:rsid w:val="008C5818"/>
    <w:rsid w:val="008C6403"/>
    <w:rsid w:val="008D0A93"/>
    <w:rsid w:val="008D0D30"/>
    <w:rsid w:val="008D260F"/>
    <w:rsid w:val="008D4D81"/>
    <w:rsid w:val="008D53D5"/>
    <w:rsid w:val="008D5AFA"/>
    <w:rsid w:val="008D6E93"/>
    <w:rsid w:val="008E19C4"/>
    <w:rsid w:val="008E3055"/>
    <w:rsid w:val="008E338C"/>
    <w:rsid w:val="008E4181"/>
    <w:rsid w:val="008E4D32"/>
    <w:rsid w:val="008E54A2"/>
    <w:rsid w:val="008E7F6B"/>
    <w:rsid w:val="008F09E6"/>
    <w:rsid w:val="008F2084"/>
    <w:rsid w:val="008F3495"/>
    <w:rsid w:val="008F4A20"/>
    <w:rsid w:val="008F52F7"/>
    <w:rsid w:val="008F5E47"/>
    <w:rsid w:val="008F7F1F"/>
    <w:rsid w:val="0090026C"/>
    <w:rsid w:val="00901268"/>
    <w:rsid w:val="00902AED"/>
    <w:rsid w:val="00902EA8"/>
    <w:rsid w:val="0090410A"/>
    <w:rsid w:val="00905102"/>
    <w:rsid w:val="0090613A"/>
    <w:rsid w:val="00906ED9"/>
    <w:rsid w:val="0091004A"/>
    <w:rsid w:val="00910C60"/>
    <w:rsid w:val="00910EF2"/>
    <w:rsid w:val="00913AF1"/>
    <w:rsid w:val="00913BA4"/>
    <w:rsid w:val="00913CF7"/>
    <w:rsid w:val="009142DA"/>
    <w:rsid w:val="0091667C"/>
    <w:rsid w:val="00921A94"/>
    <w:rsid w:val="00922FC6"/>
    <w:rsid w:val="009239DA"/>
    <w:rsid w:val="00924684"/>
    <w:rsid w:val="009246BD"/>
    <w:rsid w:val="009246BF"/>
    <w:rsid w:val="009247ED"/>
    <w:rsid w:val="00925066"/>
    <w:rsid w:val="009263C7"/>
    <w:rsid w:val="00927580"/>
    <w:rsid w:val="00930F16"/>
    <w:rsid w:val="00931175"/>
    <w:rsid w:val="0093144E"/>
    <w:rsid w:val="0093203B"/>
    <w:rsid w:val="00933902"/>
    <w:rsid w:val="0093488B"/>
    <w:rsid w:val="00935C48"/>
    <w:rsid w:val="00935E44"/>
    <w:rsid w:val="00935F3D"/>
    <w:rsid w:val="00935FCC"/>
    <w:rsid w:val="00936346"/>
    <w:rsid w:val="0094002E"/>
    <w:rsid w:val="00940DCC"/>
    <w:rsid w:val="00941D64"/>
    <w:rsid w:val="00942F6B"/>
    <w:rsid w:val="00944B4F"/>
    <w:rsid w:val="00944DD9"/>
    <w:rsid w:val="00945FCB"/>
    <w:rsid w:val="0094627A"/>
    <w:rsid w:val="0094782C"/>
    <w:rsid w:val="00951B08"/>
    <w:rsid w:val="00951B71"/>
    <w:rsid w:val="0095208F"/>
    <w:rsid w:val="00952668"/>
    <w:rsid w:val="00952A31"/>
    <w:rsid w:val="00953EB1"/>
    <w:rsid w:val="0095505D"/>
    <w:rsid w:val="0095530A"/>
    <w:rsid w:val="009569B4"/>
    <w:rsid w:val="00956AD6"/>
    <w:rsid w:val="00960F82"/>
    <w:rsid w:val="009618E6"/>
    <w:rsid w:val="00962A12"/>
    <w:rsid w:val="00963C8C"/>
    <w:rsid w:val="009640B2"/>
    <w:rsid w:val="00966D7D"/>
    <w:rsid w:val="009670CF"/>
    <w:rsid w:val="009674A4"/>
    <w:rsid w:val="00967530"/>
    <w:rsid w:val="009679EC"/>
    <w:rsid w:val="009711EB"/>
    <w:rsid w:val="00971FCA"/>
    <w:rsid w:val="009725DF"/>
    <w:rsid w:val="00972712"/>
    <w:rsid w:val="00972A3F"/>
    <w:rsid w:val="00972EEF"/>
    <w:rsid w:val="00973A07"/>
    <w:rsid w:val="00973F86"/>
    <w:rsid w:val="009751F5"/>
    <w:rsid w:val="00975FCE"/>
    <w:rsid w:val="00976977"/>
    <w:rsid w:val="0097714F"/>
    <w:rsid w:val="009819F3"/>
    <w:rsid w:val="00982DB8"/>
    <w:rsid w:val="00983EEB"/>
    <w:rsid w:val="00985B4E"/>
    <w:rsid w:val="0098604A"/>
    <w:rsid w:val="00987BE1"/>
    <w:rsid w:val="009906BA"/>
    <w:rsid w:val="00992760"/>
    <w:rsid w:val="00992A14"/>
    <w:rsid w:val="00993E54"/>
    <w:rsid w:val="00993F36"/>
    <w:rsid w:val="009946F1"/>
    <w:rsid w:val="009A09F8"/>
    <w:rsid w:val="009A10ED"/>
    <w:rsid w:val="009A382B"/>
    <w:rsid w:val="009A4CEB"/>
    <w:rsid w:val="009A4FB1"/>
    <w:rsid w:val="009A5123"/>
    <w:rsid w:val="009A62A1"/>
    <w:rsid w:val="009B036E"/>
    <w:rsid w:val="009B0586"/>
    <w:rsid w:val="009B05AC"/>
    <w:rsid w:val="009B0AAA"/>
    <w:rsid w:val="009B0F7E"/>
    <w:rsid w:val="009B156F"/>
    <w:rsid w:val="009B1A1F"/>
    <w:rsid w:val="009B203C"/>
    <w:rsid w:val="009B23EB"/>
    <w:rsid w:val="009B268B"/>
    <w:rsid w:val="009B26F3"/>
    <w:rsid w:val="009B295F"/>
    <w:rsid w:val="009B2E00"/>
    <w:rsid w:val="009B568B"/>
    <w:rsid w:val="009B6A17"/>
    <w:rsid w:val="009C1060"/>
    <w:rsid w:val="009C17DC"/>
    <w:rsid w:val="009C2AB3"/>
    <w:rsid w:val="009C2B98"/>
    <w:rsid w:val="009C5411"/>
    <w:rsid w:val="009C5F7C"/>
    <w:rsid w:val="009C6D91"/>
    <w:rsid w:val="009C7A37"/>
    <w:rsid w:val="009C7F08"/>
    <w:rsid w:val="009D095B"/>
    <w:rsid w:val="009D2268"/>
    <w:rsid w:val="009D2358"/>
    <w:rsid w:val="009D2C82"/>
    <w:rsid w:val="009D3F24"/>
    <w:rsid w:val="009D4FB3"/>
    <w:rsid w:val="009D5970"/>
    <w:rsid w:val="009D6132"/>
    <w:rsid w:val="009D70FE"/>
    <w:rsid w:val="009D7837"/>
    <w:rsid w:val="009E0E4E"/>
    <w:rsid w:val="009E2787"/>
    <w:rsid w:val="009E541F"/>
    <w:rsid w:val="009E56A7"/>
    <w:rsid w:val="009E599B"/>
    <w:rsid w:val="009E5AB5"/>
    <w:rsid w:val="009E5F44"/>
    <w:rsid w:val="009E60C2"/>
    <w:rsid w:val="009E6186"/>
    <w:rsid w:val="009E6894"/>
    <w:rsid w:val="009E79F7"/>
    <w:rsid w:val="009E7D95"/>
    <w:rsid w:val="009E7DB7"/>
    <w:rsid w:val="009E7DD1"/>
    <w:rsid w:val="009F14BA"/>
    <w:rsid w:val="009F158B"/>
    <w:rsid w:val="009F182C"/>
    <w:rsid w:val="009F2AD1"/>
    <w:rsid w:val="009F2D61"/>
    <w:rsid w:val="009F2DC0"/>
    <w:rsid w:val="009F3AE5"/>
    <w:rsid w:val="009F3C97"/>
    <w:rsid w:val="009F4052"/>
    <w:rsid w:val="009F4EEB"/>
    <w:rsid w:val="009F65C1"/>
    <w:rsid w:val="009F7E11"/>
    <w:rsid w:val="00A0008E"/>
    <w:rsid w:val="00A00EAD"/>
    <w:rsid w:val="00A024FC"/>
    <w:rsid w:val="00A0476B"/>
    <w:rsid w:val="00A063D5"/>
    <w:rsid w:val="00A07AA1"/>
    <w:rsid w:val="00A106A7"/>
    <w:rsid w:val="00A12335"/>
    <w:rsid w:val="00A14022"/>
    <w:rsid w:val="00A14201"/>
    <w:rsid w:val="00A14AC1"/>
    <w:rsid w:val="00A14CF6"/>
    <w:rsid w:val="00A15A85"/>
    <w:rsid w:val="00A16204"/>
    <w:rsid w:val="00A16230"/>
    <w:rsid w:val="00A16C4D"/>
    <w:rsid w:val="00A2071A"/>
    <w:rsid w:val="00A232F4"/>
    <w:rsid w:val="00A25C1A"/>
    <w:rsid w:val="00A2777E"/>
    <w:rsid w:val="00A30C24"/>
    <w:rsid w:val="00A30DDE"/>
    <w:rsid w:val="00A32D11"/>
    <w:rsid w:val="00A3358E"/>
    <w:rsid w:val="00A3649A"/>
    <w:rsid w:val="00A36F3C"/>
    <w:rsid w:val="00A37207"/>
    <w:rsid w:val="00A41D6F"/>
    <w:rsid w:val="00A42F6E"/>
    <w:rsid w:val="00A430B3"/>
    <w:rsid w:val="00A43C0C"/>
    <w:rsid w:val="00A4437B"/>
    <w:rsid w:val="00A44C59"/>
    <w:rsid w:val="00A458D2"/>
    <w:rsid w:val="00A4744C"/>
    <w:rsid w:val="00A476CA"/>
    <w:rsid w:val="00A47802"/>
    <w:rsid w:val="00A506C6"/>
    <w:rsid w:val="00A50B80"/>
    <w:rsid w:val="00A5122A"/>
    <w:rsid w:val="00A51D29"/>
    <w:rsid w:val="00A52C38"/>
    <w:rsid w:val="00A52F67"/>
    <w:rsid w:val="00A54E49"/>
    <w:rsid w:val="00A55A0D"/>
    <w:rsid w:val="00A55B94"/>
    <w:rsid w:val="00A55C96"/>
    <w:rsid w:val="00A56587"/>
    <w:rsid w:val="00A57E3F"/>
    <w:rsid w:val="00A60201"/>
    <w:rsid w:val="00A60F7D"/>
    <w:rsid w:val="00A616C6"/>
    <w:rsid w:val="00A61F84"/>
    <w:rsid w:val="00A63A5C"/>
    <w:rsid w:val="00A640B0"/>
    <w:rsid w:val="00A64366"/>
    <w:rsid w:val="00A64801"/>
    <w:rsid w:val="00A65804"/>
    <w:rsid w:val="00A6719B"/>
    <w:rsid w:val="00A67C73"/>
    <w:rsid w:val="00A70D3F"/>
    <w:rsid w:val="00A70DF0"/>
    <w:rsid w:val="00A718B2"/>
    <w:rsid w:val="00A7434E"/>
    <w:rsid w:val="00A75253"/>
    <w:rsid w:val="00A776C1"/>
    <w:rsid w:val="00A77948"/>
    <w:rsid w:val="00A77C91"/>
    <w:rsid w:val="00A803C0"/>
    <w:rsid w:val="00A819BA"/>
    <w:rsid w:val="00A8306C"/>
    <w:rsid w:val="00A8740A"/>
    <w:rsid w:val="00A92142"/>
    <w:rsid w:val="00A94B58"/>
    <w:rsid w:val="00AA4692"/>
    <w:rsid w:val="00AA71D6"/>
    <w:rsid w:val="00AA7EA1"/>
    <w:rsid w:val="00AB29D2"/>
    <w:rsid w:val="00AB4049"/>
    <w:rsid w:val="00AB44F9"/>
    <w:rsid w:val="00AB5219"/>
    <w:rsid w:val="00AB7197"/>
    <w:rsid w:val="00AC2FEA"/>
    <w:rsid w:val="00AC5224"/>
    <w:rsid w:val="00AC61EE"/>
    <w:rsid w:val="00AC7935"/>
    <w:rsid w:val="00AD20D6"/>
    <w:rsid w:val="00AD451E"/>
    <w:rsid w:val="00AD62F8"/>
    <w:rsid w:val="00AD63E7"/>
    <w:rsid w:val="00AE016E"/>
    <w:rsid w:val="00AE060C"/>
    <w:rsid w:val="00AE0A20"/>
    <w:rsid w:val="00AE0ED7"/>
    <w:rsid w:val="00AE2174"/>
    <w:rsid w:val="00AE275B"/>
    <w:rsid w:val="00AE3FE5"/>
    <w:rsid w:val="00AE5305"/>
    <w:rsid w:val="00AE5DC0"/>
    <w:rsid w:val="00AE7ED3"/>
    <w:rsid w:val="00AF2433"/>
    <w:rsid w:val="00AF2702"/>
    <w:rsid w:val="00AF2B52"/>
    <w:rsid w:val="00AF2CFD"/>
    <w:rsid w:val="00AF357F"/>
    <w:rsid w:val="00AF3593"/>
    <w:rsid w:val="00AF6550"/>
    <w:rsid w:val="00AF71D3"/>
    <w:rsid w:val="00B01FC6"/>
    <w:rsid w:val="00B02C02"/>
    <w:rsid w:val="00B0387D"/>
    <w:rsid w:val="00B046C7"/>
    <w:rsid w:val="00B04900"/>
    <w:rsid w:val="00B06E05"/>
    <w:rsid w:val="00B07344"/>
    <w:rsid w:val="00B074D0"/>
    <w:rsid w:val="00B07598"/>
    <w:rsid w:val="00B10547"/>
    <w:rsid w:val="00B1533E"/>
    <w:rsid w:val="00B157EF"/>
    <w:rsid w:val="00B16BA8"/>
    <w:rsid w:val="00B16E9B"/>
    <w:rsid w:val="00B16FC6"/>
    <w:rsid w:val="00B17450"/>
    <w:rsid w:val="00B17BC3"/>
    <w:rsid w:val="00B217D3"/>
    <w:rsid w:val="00B2250E"/>
    <w:rsid w:val="00B22ADD"/>
    <w:rsid w:val="00B23A06"/>
    <w:rsid w:val="00B23BAD"/>
    <w:rsid w:val="00B24BD4"/>
    <w:rsid w:val="00B24BE5"/>
    <w:rsid w:val="00B24CBE"/>
    <w:rsid w:val="00B24D89"/>
    <w:rsid w:val="00B26781"/>
    <w:rsid w:val="00B31C18"/>
    <w:rsid w:val="00B31F84"/>
    <w:rsid w:val="00B3475D"/>
    <w:rsid w:val="00B34EA7"/>
    <w:rsid w:val="00B34F92"/>
    <w:rsid w:val="00B371DF"/>
    <w:rsid w:val="00B3755A"/>
    <w:rsid w:val="00B3773F"/>
    <w:rsid w:val="00B37B14"/>
    <w:rsid w:val="00B40BDD"/>
    <w:rsid w:val="00B417B2"/>
    <w:rsid w:val="00B42953"/>
    <w:rsid w:val="00B4519D"/>
    <w:rsid w:val="00B4546D"/>
    <w:rsid w:val="00B47CBD"/>
    <w:rsid w:val="00B508A4"/>
    <w:rsid w:val="00B50C26"/>
    <w:rsid w:val="00B50ECE"/>
    <w:rsid w:val="00B51007"/>
    <w:rsid w:val="00B520F2"/>
    <w:rsid w:val="00B5255F"/>
    <w:rsid w:val="00B55A7D"/>
    <w:rsid w:val="00B57012"/>
    <w:rsid w:val="00B6157D"/>
    <w:rsid w:val="00B61761"/>
    <w:rsid w:val="00B61823"/>
    <w:rsid w:val="00B620B8"/>
    <w:rsid w:val="00B64456"/>
    <w:rsid w:val="00B648B9"/>
    <w:rsid w:val="00B65581"/>
    <w:rsid w:val="00B657FC"/>
    <w:rsid w:val="00B66033"/>
    <w:rsid w:val="00B67B54"/>
    <w:rsid w:val="00B709B4"/>
    <w:rsid w:val="00B70D6B"/>
    <w:rsid w:val="00B70E72"/>
    <w:rsid w:val="00B74055"/>
    <w:rsid w:val="00B74456"/>
    <w:rsid w:val="00B74995"/>
    <w:rsid w:val="00B74E54"/>
    <w:rsid w:val="00B750D4"/>
    <w:rsid w:val="00B75B6D"/>
    <w:rsid w:val="00B777D1"/>
    <w:rsid w:val="00B77B1E"/>
    <w:rsid w:val="00B80968"/>
    <w:rsid w:val="00B80E1C"/>
    <w:rsid w:val="00B817E5"/>
    <w:rsid w:val="00B81E5D"/>
    <w:rsid w:val="00B827D5"/>
    <w:rsid w:val="00B8283E"/>
    <w:rsid w:val="00B93D76"/>
    <w:rsid w:val="00B93E91"/>
    <w:rsid w:val="00B9477D"/>
    <w:rsid w:val="00B951AB"/>
    <w:rsid w:val="00B956B3"/>
    <w:rsid w:val="00B95AB7"/>
    <w:rsid w:val="00B96CA9"/>
    <w:rsid w:val="00B96F14"/>
    <w:rsid w:val="00BA08EF"/>
    <w:rsid w:val="00BA09A3"/>
    <w:rsid w:val="00BA1ED3"/>
    <w:rsid w:val="00BA2C2E"/>
    <w:rsid w:val="00BA33A2"/>
    <w:rsid w:val="00BA3F0D"/>
    <w:rsid w:val="00BA3F35"/>
    <w:rsid w:val="00BA42A5"/>
    <w:rsid w:val="00BA4406"/>
    <w:rsid w:val="00BA57D4"/>
    <w:rsid w:val="00BA769C"/>
    <w:rsid w:val="00BB3E7C"/>
    <w:rsid w:val="00BB4CDB"/>
    <w:rsid w:val="00BB5755"/>
    <w:rsid w:val="00BB6FFE"/>
    <w:rsid w:val="00BB7285"/>
    <w:rsid w:val="00BC1152"/>
    <w:rsid w:val="00BC188B"/>
    <w:rsid w:val="00BC2BAD"/>
    <w:rsid w:val="00BC4F52"/>
    <w:rsid w:val="00BC5CA6"/>
    <w:rsid w:val="00BC5CD4"/>
    <w:rsid w:val="00BC6A5B"/>
    <w:rsid w:val="00BC6C46"/>
    <w:rsid w:val="00BD0198"/>
    <w:rsid w:val="00BD0694"/>
    <w:rsid w:val="00BD0FDD"/>
    <w:rsid w:val="00BD1CAC"/>
    <w:rsid w:val="00BD1D1A"/>
    <w:rsid w:val="00BD30F1"/>
    <w:rsid w:val="00BD35CB"/>
    <w:rsid w:val="00BD3FAD"/>
    <w:rsid w:val="00BD490F"/>
    <w:rsid w:val="00BD5647"/>
    <w:rsid w:val="00BD6AF4"/>
    <w:rsid w:val="00BD778B"/>
    <w:rsid w:val="00BE0771"/>
    <w:rsid w:val="00BE0BE5"/>
    <w:rsid w:val="00BE2C87"/>
    <w:rsid w:val="00BE2F8E"/>
    <w:rsid w:val="00BE3118"/>
    <w:rsid w:val="00BE47B2"/>
    <w:rsid w:val="00BE4C64"/>
    <w:rsid w:val="00BE59B4"/>
    <w:rsid w:val="00BF24F8"/>
    <w:rsid w:val="00BF3635"/>
    <w:rsid w:val="00BF4744"/>
    <w:rsid w:val="00C00E6A"/>
    <w:rsid w:val="00C05031"/>
    <w:rsid w:val="00C0512C"/>
    <w:rsid w:val="00C05498"/>
    <w:rsid w:val="00C05DCB"/>
    <w:rsid w:val="00C07B78"/>
    <w:rsid w:val="00C10CC4"/>
    <w:rsid w:val="00C11C9E"/>
    <w:rsid w:val="00C11E69"/>
    <w:rsid w:val="00C11F17"/>
    <w:rsid w:val="00C120B7"/>
    <w:rsid w:val="00C13239"/>
    <w:rsid w:val="00C1357F"/>
    <w:rsid w:val="00C145C7"/>
    <w:rsid w:val="00C1495A"/>
    <w:rsid w:val="00C14FA5"/>
    <w:rsid w:val="00C1585C"/>
    <w:rsid w:val="00C1622C"/>
    <w:rsid w:val="00C16F12"/>
    <w:rsid w:val="00C20A76"/>
    <w:rsid w:val="00C20B6D"/>
    <w:rsid w:val="00C21A11"/>
    <w:rsid w:val="00C228B4"/>
    <w:rsid w:val="00C22936"/>
    <w:rsid w:val="00C24954"/>
    <w:rsid w:val="00C252F5"/>
    <w:rsid w:val="00C2614C"/>
    <w:rsid w:val="00C26E33"/>
    <w:rsid w:val="00C27120"/>
    <w:rsid w:val="00C271BC"/>
    <w:rsid w:val="00C30A76"/>
    <w:rsid w:val="00C313D5"/>
    <w:rsid w:val="00C32472"/>
    <w:rsid w:val="00C32F44"/>
    <w:rsid w:val="00C3550E"/>
    <w:rsid w:val="00C3638D"/>
    <w:rsid w:val="00C4148C"/>
    <w:rsid w:val="00C417D4"/>
    <w:rsid w:val="00C41872"/>
    <w:rsid w:val="00C4237F"/>
    <w:rsid w:val="00C43004"/>
    <w:rsid w:val="00C44D53"/>
    <w:rsid w:val="00C455C8"/>
    <w:rsid w:val="00C46222"/>
    <w:rsid w:val="00C46E3A"/>
    <w:rsid w:val="00C501F8"/>
    <w:rsid w:val="00C5036E"/>
    <w:rsid w:val="00C51FD7"/>
    <w:rsid w:val="00C53B7B"/>
    <w:rsid w:val="00C54B03"/>
    <w:rsid w:val="00C570F1"/>
    <w:rsid w:val="00C575A6"/>
    <w:rsid w:val="00C57CEB"/>
    <w:rsid w:val="00C603AC"/>
    <w:rsid w:val="00C6052C"/>
    <w:rsid w:val="00C6306F"/>
    <w:rsid w:val="00C6358E"/>
    <w:rsid w:val="00C64E7E"/>
    <w:rsid w:val="00C65280"/>
    <w:rsid w:val="00C661DF"/>
    <w:rsid w:val="00C66237"/>
    <w:rsid w:val="00C66D7A"/>
    <w:rsid w:val="00C670EB"/>
    <w:rsid w:val="00C7214F"/>
    <w:rsid w:val="00C7315E"/>
    <w:rsid w:val="00C759F5"/>
    <w:rsid w:val="00C76381"/>
    <w:rsid w:val="00C76F42"/>
    <w:rsid w:val="00C81326"/>
    <w:rsid w:val="00C81775"/>
    <w:rsid w:val="00C8239E"/>
    <w:rsid w:val="00C82538"/>
    <w:rsid w:val="00C83449"/>
    <w:rsid w:val="00C84C9A"/>
    <w:rsid w:val="00C858A5"/>
    <w:rsid w:val="00C85EAA"/>
    <w:rsid w:val="00C864BC"/>
    <w:rsid w:val="00C86FA3"/>
    <w:rsid w:val="00C8794D"/>
    <w:rsid w:val="00C87E68"/>
    <w:rsid w:val="00C91874"/>
    <w:rsid w:val="00C9227C"/>
    <w:rsid w:val="00C93D4A"/>
    <w:rsid w:val="00C948B6"/>
    <w:rsid w:val="00C95D7E"/>
    <w:rsid w:val="00C97308"/>
    <w:rsid w:val="00C97606"/>
    <w:rsid w:val="00CA1D61"/>
    <w:rsid w:val="00CA1F3C"/>
    <w:rsid w:val="00CA2162"/>
    <w:rsid w:val="00CA37E2"/>
    <w:rsid w:val="00CA437F"/>
    <w:rsid w:val="00CA47E7"/>
    <w:rsid w:val="00CB2DF4"/>
    <w:rsid w:val="00CB3309"/>
    <w:rsid w:val="00CB3944"/>
    <w:rsid w:val="00CB411E"/>
    <w:rsid w:val="00CB4394"/>
    <w:rsid w:val="00CB4D56"/>
    <w:rsid w:val="00CB4E6A"/>
    <w:rsid w:val="00CB5184"/>
    <w:rsid w:val="00CB7E8D"/>
    <w:rsid w:val="00CC1399"/>
    <w:rsid w:val="00CC35DF"/>
    <w:rsid w:val="00CC3ABC"/>
    <w:rsid w:val="00CC3C8C"/>
    <w:rsid w:val="00CC5FA4"/>
    <w:rsid w:val="00CC6F07"/>
    <w:rsid w:val="00CC76AA"/>
    <w:rsid w:val="00CD2DB8"/>
    <w:rsid w:val="00CD3219"/>
    <w:rsid w:val="00CD601A"/>
    <w:rsid w:val="00CD7759"/>
    <w:rsid w:val="00CE0D6D"/>
    <w:rsid w:val="00CE16EC"/>
    <w:rsid w:val="00CE1ED4"/>
    <w:rsid w:val="00CE29E5"/>
    <w:rsid w:val="00CE3C5D"/>
    <w:rsid w:val="00CE46D0"/>
    <w:rsid w:val="00CE48D1"/>
    <w:rsid w:val="00CE59FC"/>
    <w:rsid w:val="00CE68D9"/>
    <w:rsid w:val="00CE6B31"/>
    <w:rsid w:val="00CE6D10"/>
    <w:rsid w:val="00CE6F6F"/>
    <w:rsid w:val="00CE7C84"/>
    <w:rsid w:val="00CF2013"/>
    <w:rsid w:val="00CF31D8"/>
    <w:rsid w:val="00CF3648"/>
    <w:rsid w:val="00CF3DC3"/>
    <w:rsid w:val="00CF41EC"/>
    <w:rsid w:val="00CF4BF4"/>
    <w:rsid w:val="00CF544B"/>
    <w:rsid w:val="00CF6014"/>
    <w:rsid w:val="00D0013C"/>
    <w:rsid w:val="00D00DD3"/>
    <w:rsid w:val="00D015F8"/>
    <w:rsid w:val="00D024D9"/>
    <w:rsid w:val="00D02803"/>
    <w:rsid w:val="00D028E3"/>
    <w:rsid w:val="00D02F99"/>
    <w:rsid w:val="00D04216"/>
    <w:rsid w:val="00D04983"/>
    <w:rsid w:val="00D06291"/>
    <w:rsid w:val="00D066B9"/>
    <w:rsid w:val="00D0691D"/>
    <w:rsid w:val="00D07BDF"/>
    <w:rsid w:val="00D07CF8"/>
    <w:rsid w:val="00D07E8A"/>
    <w:rsid w:val="00D10123"/>
    <w:rsid w:val="00D122F9"/>
    <w:rsid w:val="00D12AB8"/>
    <w:rsid w:val="00D136E1"/>
    <w:rsid w:val="00D14C0B"/>
    <w:rsid w:val="00D1534A"/>
    <w:rsid w:val="00D15EC4"/>
    <w:rsid w:val="00D1633A"/>
    <w:rsid w:val="00D1707A"/>
    <w:rsid w:val="00D17CAF"/>
    <w:rsid w:val="00D20C06"/>
    <w:rsid w:val="00D20C6D"/>
    <w:rsid w:val="00D21700"/>
    <w:rsid w:val="00D25232"/>
    <w:rsid w:val="00D2545E"/>
    <w:rsid w:val="00D2594C"/>
    <w:rsid w:val="00D25A01"/>
    <w:rsid w:val="00D25DFD"/>
    <w:rsid w:val="00D27245"/>
    <w:rsid w:val="00D2764D"/>
    <w:rsid w:val="00D33F20"/>
    <w:rsid w:val="00D360A0"/>
    <w:rsid w:val="00D3674D"/>
    <w:rsid w:val="00D36E7C"/>
    <w:rsid w:val="00D371BA"/>
    <w:rsid w:val="00D37EA6"/>
    <w:rsid w:val="00D417ED"/>
    <w:rsid w:val="00D42506"/>
    <w:rsid w:val="00D42552"/>
    <w:rsid w:val="00D431E3"/>
    <w:rsid w:val="00D43C6D"/>
    <w:rsid w:val="00D45E22"/>
    <w:rsid w:val="00D51A58"/>
    <w:rsid w:val="00D54086"/>
    <w:rsid w:val="00D552BA"/>
    <w:rsid w:val="00D55E7F"/>
    <w:rsid w:val="00D566E3"/>
    <w:rsid w:val="00D602CB"/>
    <w:rsid w:val="00D60481"/>
    <w:rsid w:val="00D60948"/>
    <w:rsid w:val="00D6112F"/>
    <w:rsid w:val="00D61AA5"/>
    <w:rsid w:val="00D64779"/>
    <w:rsid w:val="00D65171"/>
    <w:rsid w:val="00D6634D"/>
    <w:rsid w:val="00D668E2"/>
    <w:rsid w:val="00D67EBF"/>
    <w:rsid w:val="00D70FCB"/>
    <w:rsid w:val="00D72C21"/>
    <w:rsid w:val="00D72E1C"/>
    <w:rsid w:val="00D73099"/>
    <w:rsid w:val="00D74862"/>
    <w:rsid w:val="00D80E27"/>
    <w:rsid w:val="00D82FE0"/>
    <w:rsid w:val="00D83071"/>
    <w:rsid w:val="00D845C3"/>
    <w:rsid w:val="00D849A5"/>
    <w:rsid w:val="00D8631C"/>
    <w:rsid w:val="00D86A80"/>
    <w:rsid w:val="00D86C69"/>
    <w:rsid w:val="00D911B0"/>
    <w:rsid w:val="00D925D1"/>
    <w:rsid w:val="00D9280D"/>
    <w:rsid w:val="00D92B93"/>
    <w:rsid w:val="00D92C51"/>
    <w:rsid w:val="00D95412"/>
    <w:rsid w:val="00D97747"/>
    <w:rsid w:val="00D97A53"/>
    <w:rsid w:val="00DA2657"/>
    <w:rsid w:val="00DA34C5"/>
    <w:rsid w:val="00DA43FC"/>
    <w:rsid w:val="00DA46A9"/>
    <w:rsid w:val="00DA4D81"/>
    <w:rsid w:val="00DA59BA"/>
    <w:rsid w:val="00DA5B5F"/>
    <w:rsid w:val="00DA6451"/>
    <w:rsid w:val="00DA7C5A"/>
    <w:rsid w:val="00DB0C99"/>
    <w:rsid w:val="00DB11C0"/>
    <w:rsid w:val="00DB1474"/>
    <w:rsid w:val="00DB1854"/>
    <w:rsid w:val="00DB1FCC"/>
    <w:rsid w:val="00DB3A61"/>
    <w:rsid w:val="00DB4BAB"/>
    <w:rsid w:val="00DB54AD"/>
    <w:rsid w:val="00DB576F"/>
    <w:rsid w:val="00DB7367"/>
    <w:rsid w:val="00DB78AA"/>
    <w:rsid w:val="00DB7EC4"/>
    <w:rsid w:val="00DC299C"/>
    <w:rsid w:val="00DC2DD2"/>
    <w:rsid w:val="00DC391F"/>
    <w:rsid w:val="00DC4A97"/>
    <w:rsid w:val="00DC559A"/>
    <w:rsid w:val="00DC6A37"/>
    <w:rsid w:val="00DC6B61"/>
    <w:rsid w:val="00DC72CB"/>
    <w:rsid w:val="00DC7778"/>
    <w:rsid w:val="00DD05A1"/>
    <w:rsid w:val="00DD23F7"/>
    <w:rsid w:val="00DD3EDE"/>
    <w:rsid w:val="00DD45C1"/>
    <w:rsid w:val="00DD47A5"/>
    <w:rsid w:val="00DD593C"/>
    <w:rsid w:val="00DD5F49"/>
    <w:rsid w:val="00DE0AEB"/>
    <w:rsid w:val="00DE1EBB"/>
    <w:rsid w:val="00DE2282"/>
    <w:rsid w:val="00DE2E3C"/>
    <w:rsid w:val="00DE3973"/>
    <w:rsid w:val="00DE4AB8"/>
    <w:rsid w:val="00DE677F"/>
    <w:rsid w:val="00DE6985"/>
    <w:rsid w:val="00DE7394"/>
    <w:rsid w:val="00DF0112"/>
    <w:rsid w:val="00DF3218"/>
    <w:rsid w:val="00DF5ACD"/>
    <w:rsid w:val="00E00DF9"/>
    <w:rsid w:val="00E02B32"/>
    <w:rsid w:val="00E04DAB"/>
    <w:rsid w:val="00E04F6C"/>
    <w:rsid w:val="00E050DB"/>
    <w:rsid w:val="00E121E0"/>
    <w:rsid w:val="00E124E7"/>
    <w:rsid w:val="00E127E8"/>
    <w:rsid w:val="00E12F84"/>
    <w:rsid w:val="00E142E7"/>
    <w:rsid w:val="00E161AE"/>
    <w:rsid w:val="00E168C1"/>
    <w:rsid w:val="00E17524"/>
    <w:rsid w:val="00E201E5"/>
    <w:rsid w:val="00E2026F"/>
    <w:rsid w:val="00E203DB"/>
    <w:rsid w:val="00E20A3C"/>
    <w:rsid w:val="00E2226F"/>
    <w:rsid w:val="00E22D59"/>
    <w:rsid w:val="00E22DF7"/>
    <w:rsid w:val="00E24F43"/>
    <w:rsid w:val="00E258CF"/>
    <w:rsid w:val="00E26018"/>
    <w:rsid w:val="00E26828"/>
    <w:rsid w:val="00E26D0E"/>
    <w:rsid w:val="00E2753F"/>
    <w:rsid w:val="00E3048A"/>
    <w:rsid w:val="00E32ACD"/>
    <w:rsid w:val="00E34A60"/>
    <w:rsid w:val="00E35146"/>
    <w:rsid w:val="00E35624"/>
    <w:rsid w:val="00E365F9"/>
    <w:rsid w:val="00E36678"/>
    <w:rsid w:val="00E40ED2"/>
    <w:rsid w:val="00E421F8"/>
    <w:rsid w:val="00E42583"/>
    <w:rsid w:val="00E42AF2"/>
    <w:rsid w:val="00E43E0C"/>
    <w:rsid w:val="00E441E2"/>
    <w:rsid w:val="00E44234"/>
    <w:rsid w:val="00E44E62"/>
    <w:rsid w:val="00E44EA6"/>
    <w:rsid w:val="00E46A15"/>
    <w:rsid w:val="00E47C9D"/>
    <w:rsid w:val="00E521AE"/>
    <w:rsid w:val="00E5460B"/>
    <w:rsid w:val="00E55169"/>
    <w:rsid w:val="00E57131"/>
    <w:rsid w:val="00E57744"/>
    <w:rsid w:val="00E57970"/>
    <w:rsid w:val="00E60811"/>
    <w:rsid w:val="00E60A4B"/>
    <w:rsid w:val="00E61468"/>
    <w:rsid w:val="00E625EF"/>
    <w:rsid w:val="00E62EEB"/>
    <w:rsid w:val="00E6328E"/>
    <w:rsid w:val="00E653DC"/>
    <w:rsid w:val="00E66130"/>
    <w:rsid w:val="00E66642"/>
    <w:rsid w:val="00E66D3A"/>
    <w:rsid w:val="00E70D93"/>
    <w:rsid w:val="00E7135F"/>
    <w:rsid w:val="00E71661"/>
    <w:rsid w:val="00E71E5D"/>
    <w:rsid w:val="00E72702"/>
    <w:rsid w:val="00E733E6"/>
    <w:rsid w:val="00E73C4E"/>
    <w:rsid w:val="00E73D94"/>
    <w:rsid w:val="00E73F51"/>
    <w:rsid w:val="00E74C7B"/>
    <w:rsid w:val="00E75423"/>
    <w:rsid w:val="00E77515"/>
    <w:rsid w:val="00E8158D"/>
    <w:rsid w:val="00E82119"/>
    <w:rsid w:val="00E845C9"/>
    <w:rsid w:val="00E85994"/>
    <w:rsid w:val="00E8723F"/>
    <w:rsid w:val="00E9007D"/>
    <w:rsid w:val="00E90BC8"/>
    <w:rsid w:val="00E92A2A"/>
    <w:rsid w:val="00E93CC1"/>
    <w:rsid w:val="00E95440"/>
    <w:rsid w:val="00E95595"/>
    <w:rsid w:val="00E95A2A"/>
    <w:rsid w:val="00E962D4"/>
    <w:rsid w:val="00E973C6"/>
    <w:rsid w:val="00EA02DA"/>
    <w:rsid w:val="00EA061C"/>
    <w:rsid w:val="00EA135C"/>
    <w:rsid w:val="00EA1835"/>
    <w:rsid w:val="00EA2887"/>
    <w:rsid w:val="00EA48AB"/>
    <w:rsid w:val="00EA4C2C"/>
    <w:rsid w:val="00EA5BE4"/>
    <w:rsid w:val="00EA6766"/>
    <w:rsid w:val="00EA6B46"/>
    <w:rsid w:val="00EB1D79"/>
    <w:rsid w:val="00EB1EDB"/>
    <w:rsid w:val="00EB3CBB"/>
    <w:rsid w:val="00EB3CCA"/>
    <w:rsid w:val="00EB4C82"/>
    <w:rsid w:val="00EB5658"/>
    <w:rsid w:val="00EB7D61"/>
    <w:rsid w:val="00EB7EDE"/>
    <w:rsid w:val="00EB7EF6"/>
    <w:rsid w:val="00EC0AA8"/>
    <w:rsid w:val="00EC0AEF"/>
    <w:rsid w:val="00EC1562"/>
    <w:rsid w:val="00EC1E33"/>
    <w:rsid w:val="00EC382E"/>
    <w:rsid w:val="00EC44A9"/>
    <w:rsid w:val="00EC5C38"/>
    <w:rsid w:val="00EC62B9"/>
    <w:rsid w:val="00ED0032"/>
    <w:rsid w:val="00ED143C"/>
    <w:rsid w:val="00ED2343"/>
    <w:rsid w:val="00ED2910"/>
    <w:rsid w:val="00ED2B53"/>
    <w:rsid w:val="00ED3DDB"/>
    <w:rsid w:val="00ED5992"/>
    <w:rsid w:val="00ED711A"/>
    <w:rsid w:val="00ED744A"/>
    <w:rsid w:val="00ED750F"/>
    <w:rsid w:val="00ED7D41"/>
    <w:rsid w:val="00EE0280"/>
    <w:rsid w:val="00EE4E57"/>
    <w:rsid w:val="00EE67AA"/>
    <w:rsid w:val="00EE6F75"/>
    <w:rsid w:val="00EF0241"/>
    <w:rsid w:val="00EF091E"/>
    <w:rsid w:val="00EF1342"/>
    <w:rsid w:val="00EF21E4"/>
    <w:rsid w:val="00EF4417"/>
    <w:rsid w:val="00EF468F"/>
    <w:rsid w:val="00EF47A4"/>
    <w:rsid w:val="00EF4E12"/>
    <w:rsid w:val="00EF5034"/>
    <w:rsid w:val="00EF58CB"/>
    <w:rsid w:val="00EF6064"/>
    <w:rsid w:val="00EF70C4"/>
    <w:rsid w:val="00EF748C"/>
    <w:rsid w:val="00F002D4"/>
    <w:rsid w:val="00F01775"/>
    <w:rsid w:val="00F02B9E"/>
    <w:rsid w:val="00F033F1"/>
    <w:rsid w:val="00F04245"/>
    <w:rsid w:val="00F042AD"/>
    <w:rsid w:val="00F10127"/>
    <w:rsid w:val="00F12049"/>
    <w:rsid w:val="00F121EB"/>
    <w:rsid w:val="00F144BF"/>
    <w:rsid w:val="00F144CF"/>
    <w:rsid w:val="00F1516E"/>
    <w:rsid w:val="00F15B14"/>
    <w:rsid w:val="00F15FAD"/>
    <w:rsid w:val="00F16480"/>
    <w:rsid w:val="00F200DF"/>
    <w:rsid w:val="00F20E18"/>
    <w:rsid w:val="00F21991"/>
    <w:rsid w:val="00F23165"/>
    <w:rsid w:val="00F2613B"/>
    <w:rsid w:val="00F261EC"/>
    <w:rsid w:val="00F305B9"/>
    <w:rsid w:val="00F30C76"/>
    <w:rsid w:val="00F31345"/>
    <w:rsid w:val="00F32A74"/>
    <w:rsid w:val="00F3589B"/>
    <w:rsid w:val="00F36471"/>
    <w:rsid w:val="00F36B59"/>
    <w:rsid w:val="00F378FD"/>
    <w:rsid w:val="00F402B0"/>
    <w:rsid w:val="00F41078"/>
    <w:rsid w:val="00F43990"/>
    <w:rsid w:val="00F445C1"/>
    <w:rsid w:val="00F446DF"/>
    <w:rsid w:val="00F44797"/>
    <w:rsid w:val="00F44FC7"/>
    <w:rsid w:val="00F467A5"/>
    <w:rsid w:val="00F46956"/>
    <w:rsid w:val="00F47645"/>
    <w:rsid w:val="00F47D3C"/>
    <w:rsid w:val="00F518A7"/>
    <w:rsid w:val="00F5208A"/>
    <w:rsid w:val="00F52AE2"/>
    <w:rsid w:val="00F53259"/>
    <w:rsid w:val="00F53CD8"/>
    <w:rsid w:val="00F53E8D"/>
    <w:rsid w:val="00F54FCF"/>
    <w:rsid w:val="00F5537A"/>
    <w:rsid w:val="00F56C7F"/>
    <w:rsid w:val="00F60303"/>
    <w:rsid w:val="00F6165C"/>
    <w:rsid w:val="00F61906"/>
    <w:rsid w:val="00F61A09"/>
    <w:rsid w:val="00F635F4"/>
    <w:rsid w:val="00F63CD8"/>
    <w:rsid w:val="00F645EF"/>
    <w:rsid w:val="00F64651"/>
    <w:rsid w:val="00F6494B"/>
    <w:rsid w:val="00F650AB"/>
    <w:rsid w:val="00F65AE2"/>
    <w:rsid w:val="00F666EF"/>
    <w:rsid w:val="00F67D19"/>
    <w:rsid w:val="00F67DB6"/>
    <w:rsid w:val="00F7255C"/>
    <w:rsid w:val="00F72A1D"/>
    <w:rsid w:val="00F7347D"/>
    <w:rsid w:val="00F73B5C"/>
    <w:rsid w:val="00F75235"/>
    <w:rsid w:val="00F76C32"/>
    <w:rsid w:val="00F805C4"/>
    <w:rsid w:val="00F806EE"/>
    <w:rsid w:val="00F82F18"/>
    <w:rsid w:val="00F834A4"/>
    <w:rsid w:val="00F83E2B"/>
    <w:rsid w:val="00F86A54"/>
    <w:rsid w:val="00F87285"/>
    <w:rsid w:val="00F872D6"/>
    <w:rsid w:val="00F87838"/>
    <w:rsid w:val="00F87DA3"/>
    <w:rsid w:val="00F90334"/>
    <w:rsid w:val="00F90B65"/>
    <w:rsid w:val="00F90E2E"/>
    <w:rsid w:val="00F91E8B"/>
    <w:rsid w:val="00F922A4"/>
    <w:rsid w:val="00F923D8"/>
    <w:rsid w:val="00F92C0F"/>
    <w:rsid w:val="00F93743"/>
    <w:rsid w:val="00F96B76"/>
    <w:rsid w:val="00F97BFF"/>
    <w:rsid w:val="00F97F29"/>
    <w:rsid w:val="00FA18EF"/>
    <w:rsid w:val="00FA1B8E"/>
    <w:rsid w:val="00FA21F7"/>
    <w:rsid w:val="00FA37F4"/>
    <w:rsid w:val="00FA6B0E"/>
    <w:rsid w:val="00FA7388"/>
    <w:rsid w:val="00FA74F7"/>
    <w:rsid w:val="00FA77F0"/>
    <w:rsid w:val="00FB02B1"/>
    <w:rsid w:val="00FB2AD5"/>
    <w:rsid w:val="00FB2EDF"/>
    <w:rsid w:val="00FB38C2"/>
    <w:rsid w:val="00FB4E60"/>
    <w:rsid w:val="00FB5937"/>
    <w:rsid w:val="00FB5A52"/>
    <w:rsid w:val="00FC14B5"/>
    <w:rsid w:val="00FC1838"/>
    <w:rsid w:val="00FC1AF9"/>
    <w:rsid w:val="00FC4CEE"/>
    <w:rsid w:val="00FC5F33"/>
    <w:rsid w:val="00FC7204"/>
    <w:rsid w:val="00FC74D1"/>
    <w:rsid w:val="00FD0712"/>
    <w:rsid w:val="00FD14CB"/>
    <w:rsid w:val="00FD350E"/>
    <w:rsid w:val="00FD39A6"/>
    <w:rsid w:val="00FD6185"/>
    <w:rsid w:val="00FD7886"/>
    <w:rsid w:val="00FE0DB3"/>
    <w:rsid w:val="00FE28DB"/>
    <w:rsid w:val="00FE2F83"/>
    <w:rsid w:val="00FE344A"/>
    <w:rsid w:val="00FE536A"/>
    <w:rsid w:val="00FE6228"/>
    <w:rsid w:val="00FE6382"/>
    <w:rsid w:val="00FF0664"/>
    <w:rsid w:val="00FF3519"/>
    <w:rsid w:val="00FF4071"/>
    <w:rsid w:val="00FF4197"/>
    <w:rsid w:val="00FF6A63"/>
    <w:rsid w:val="00FF716A"/>
    <w:rsid w:val="00FF77CF"/>
    <w:rsid w:val="01070596"/>
    <w:rsid w:val="010B5412"/>
    <w:rsid w:val="013A7C90"/>
    <w:rsid w:val="013B6B5D"/>
    <w:rsid w:val="015E0E0B"/>
    <w:rsid w:val="016536E6"/>
    <w:rsid w:val="0170360E"/>
    <w:rsid w:val="0172557B"/>
    <w:rsid w:val="018A3427"/>
    <w:rsid w:val="01BF232D"/>
    <w:rsid w:val="01BF5307"/>
    <w:rsid w:val="01D10C3E"/>
    <w:rsid w:val="01E305B6"/>
    <w:rsid w:val="0221032A"/>
    <w:rsid w:val="02314D6A"/>
    <w:rsid w:val="02357927"/>
    <w:rsid w:val="0246596C"/>
    <w:rsid w:val="028E0CA7"/>
    <w:rsid w:val="0295528D"/>
    <w:rsid w:val="029A1EE8"/>
    <w:rsid w:val="029A5165"/>
    <w:rsid w:val="02C17626"/>
    <w:rsid w:val="02CB5DBE"/>
    <w:rsid w:val="02E846FB"/>
    <w:rsid w:val="02E91C7D"/>
    <w:rsid w:val="02F06DE6"/>
    <w:rsid w:val="02F44799"/>
    <w:rsid w:val="03133278"/>
    <w:rsid w:val="031428A1"/>
    <w:rsid w:val="034A6967"/>
    <w:rsid w:val="03763347"/>
    <w:rsid w:val="0378566C"/>
    <w:rsid w:val="03C92F80"/>
    <w:rsid w:val="03E13BF1"/>
    <w:rsid w:val="03FA4CCD"/>
    <w:rsid w:val="04173087"/>
    <w:rsid w:val="042948DA"/>
    <w:rsid w:val="045D04DB"/>
    <w:rsid w:val="045F4253"/>
    <w:rsid w:val="04817EF1"/>
    <w:rsid w:val="04866E38"/>
    <w:rsid w:val="049C6CFD"/>
    <w:rsid w:val="04B31E5E"/>
    <w:rsid w:val="04C22D62"/>
    <w:rsid w:val="04C5780A"/>
    <w:rsid w:val="04F3027B"/>
    <w:rsid w:val="04F41E13"/>
    <w:rsid w:val="050C68F7"/>
    <w:rsid w:val="0517066E"/>
    <w:rsid w:val="05235A42"/>
    <w:rsid w:val="05716E08"/>
    <w:rsid w:val="057F4CA0"/>
    <w:rsid w:val="05E05096"/>
    <w:rsid w:val="062D5687"/>
    <w:rsid w:val="063F74FA"/>
    <w:rsid w:val="06683B79"/>
    <w:rsid w:val="069E3612"/>
    <w:rsid w:val="06B81950"/>
    <w:rsid w:val="06C07F8B"/>
    <w:rsid w:val="06D432E7"/>
    <w:rsid w:val="06D871F0"/>
    <w:rsid w:val="06EE0A8A"/>
    <w:rsid w:val="071274EF"/>
    <w:rsid w:val="073C7C53"/>
    <w:rsid w:val="074B512F"/>
    <w:rsid w:val="074B6529"/>
    <w:rsid w:val="075C47E8"/>
    <w:rsid w:val="075D701D"/>
    <w:rsid w:val="07726801"/>
    <w:rsid w:val="07BA0B99"/>
    <w:rsid w:val="07C21693"/>
    <w:rsid w:val="07CB33EA"/>
    <w:rsid w:val="07FB4797"/>
    <w:rsid w:val="08017692"/>
    <w:rsid w:val="081B2745"/>
    <w:rsid w:val="084B0D95"/>
    <w:rsid w:val="085438CB"/>
    <w:rsid w:val="0856277F"/>
    <w:rsid w:val="085E70A3"/>
    <w:rsid w:val="087850E8"/>
    <w:rsid w:val="087E59FF"/>
    <w:rsid w:val="08A741A9"/>
    <w:rsid w:val="08A917E1"/>
    <w:rsid w:val="08B109DF"/>
    <w:rsid w:val="08B308D8"/>
    <w:rsid w:val="08BE3F93"/>
    <w:rsid w:val="08E1304F"/>
    <w:rsid w:val="08EB0D02"/>
    <w:rsid w:val="08F76CD9"/>
    <w:rsid w:val="09053D42"/>
    <w:rsid w:val="094D7F3D"/>
    <w:rsid w:val="09682118"/>
    <w:rsid w:val="09C875A3"/>
    <w:rsid w:val="09CA7025"/>
    <w:rsid w:val="09CB6643"/>
    <w:rsid w:val="0A0976D6"/>
    <w:rsid w:val="0A0979B5"/>
    <w:rsid w:val="0A1F019E"/>
    <w:rsid w:val="0A25499B"/>
    <w:rsid w:val="0A48552D"/>
    <w:rsid w:val="0A664501"/>
    <w:rsid w:val="0A854542"/>
    <w:rsid w:val="0AB44861"/>
    <w:rsid w:val="0AD76FA7"/>
    <w:rsid w:val="0ADB6390"/>
    <w:rsid w:val="0AF36B35"/>
    <w:rsid w:val="0AF4056B"/>
    <w:rsid w:val="0B2148CF"/>
    <w:rsid w:val="0B5A5E45"/>
    <w:rsid w:val="0B846A84"/>
    <w:rsid w:val="0B906437"/>
    <w:rsid w:val="0BA53DC9"/>
    <w:rsid w:val="0BB5546F"/>
    <w:rsid w:val="0BEC4F55"/>
    <w:rsid w:val="0C2C654C"/>
    <w:rsid w:val="0C482BA0"/>
    <w:rsid w:val="0C6205FC"/>
    <w:rsid w:val="0C6B7A3E"/>
    <w:rsid w:val="0C8C55C0"/>
    <w:rsid w:val="0C9B3C30"/>
    <w:rsid w:val="0CB76B74"/>
    <w:rsid w:val="0CDA42BE"/>
    <w:rsid w:val="0CE14597"/>
    <w:rsid w:val="0CEA5F50"/>
    <w:rsid w:val="0D1E192C"/>
    <w:rsid w:val="0D480739"/>
    <w:rsid w:val="0D815171"/>
    <w:rsid w:val="0DA255D3"/>
    <w:rsid w:val="0DC01A82"/>
    <w:rsid w:val="0DCA429E"/>
    <w:rsid w:val="0DF57729"/>
    <w:rsid w:val="0E107388"/>
    <w:rsid w:val="0E3B55C8"/>
    <w:rsid w:val="0E860786"/>
    <w:rsid w:val="0E87454E"/>
    <w:rsid w:val="0E8B0946"/>
    <w:rsid w:val="0EA00B14"/>
    <w:rsid w:val="0EA60F00"/>
    <w:rsid w:val="0EB66996"/>
    <w:rsid w:val="0EE03204"/>
    <w:rsid w:val="0EE76CC0"/>
    <w:rsid w:val="0F246551"/>
    <w:rsid w:val="0F2F692A"/>
    <w:rsid w:val="0F57334F"/>
    <w:rsid w:val="0F615D83"/>
    <w:rsid w:val="0F712470"/>
    <w:rsid w:val="0F824D5F"/>
    <w:rsid w:val="0FF44CAF"/>
    <w:rsid w:val="0FF71060"/>
    <w:rsid w:val="10162CC4"/>
    <w:rsid w:val="107B4E3C"/>
    <w:rsid w:val="10854519"/>
    <w:rsid w:val="10883B86"/>
    <w:rsid w:val="10930B26"/>
    <w:rsid w:val="10AF5785"/>
    <w:rsid w:val="10F33AE0"/>
    <w:rsid w:val="111324E7"/>
    <w:rsid w:val="11150C5D"/>
    <w:rsid w:val="113F1857"/>
    <w:rsid w:val="116D7D5F"/>
    <w:rsid w:val="11A23A45"/>
    <w:rsid w:val="11A36E95"/>
    <w:rsid w:val="11BA78D5"/>
    <w:rsid w:val="11C75BCB"/>
    <w:rsid w:val="11DB727A"/>
    <w:rsid w:val="11ED5CE9"/>
    <w:rsid w:val="11F320DD"/>
    <w:rsid w:val="11F759EC"/>
    <w:rsid w:val="11FD77E4"/>
    <w:rsid w:val="122C3D05"/>
    <w:rsid w:val="124670B3"/>
    <w:rsid w:val="12500C0A"/>
    <w:rsid w:val="127C2C48"/>
    <w:rsid w:val="12A53086"/>
    <w:rsid w:val="12BF1103"/>
    <w:rsid w:val="12DD7671"/>
    <w:rsid w:val="12EA7CAB"/>
    <w:rsid w:val="12EB396D"/>
    <w:rsid w:val="135E6BEE"/>
    <w:rsid w:val="13643C91"/>
    <w:rsid w:val="13717D00"/>
    <w:rsid w:val="138630FC"/>
    <w:rsid w:val="138C59F5"/>
    <w:rsid w:val="13B73BD3"/>
    <w:rsid w:val="13E75014"/>
    <w:rsid w:val="141872BF"/>
    <w:rsid w:val="141C6FB7"/>
    <w:rsid w:val="145324C0"/>
    <w:rsid w:val="14632E3C"/>
    <w:rsid w:val="148562AE"/>
    <w:rsid w:val="149172AB"/>
    <w:rsid w:val="14B70A62"/>
    <w:rsid w:val="14CC68CE"/>
    <w:rsid w:val="14FF1960"/>
    <w:rsid w:val="15026DC8"/>
    <w:rsid w:val="152A4609"/>
    <w:rsid w:val="15535D43"/>
    <w:rsid w:val="156D0F2C"/>
    <w:rsid w:val="15E41115"/>
    <w:rsid w:val="15E80718"/>
    <w:rsid w:val="160B1CC9"/>
    <w:rsid w:val="164E65C7"/>
    <w:rsid w:val="165D6643"/>
    <w:rsid w:val="16B747A8"/>
    <w:rsid w:val="16BE7E09"/>
    <w:rsid w:val="16DD0041"/>
    <w:rsid w:val="16FA3E3C"/>
    <w:rsid w:val="16FE0B90"/>
    <w:rsid w:val="17183F5D"/>
    <w:rsid w:val="17A94FD2"/>
    <w:rsid w:val="17DB122B"/>
    <w:rsid w:val="180F1BA2"/>
    <w:rsid w:val="18931450"/>
    <w:rsid w:val="18BB2E35"/>
    <w:rsid w:val="18D06E6E"/>
    <w:rsid w:val="18D30F86"/>
    <w:rsid w:val="18DE48B4"/>
    <w:rsid w:val="194A6BBF"/>
    <w:rsid w:val="19593CDE"/>
    <w:rsid w:val="196813B4"/>
    <w:rsid w:val="19804EAF"/>
    <w:rsid w:val="199E6855"/>
    <w:rsid w:val="19AD1B21"/>
    <w:rsid w:val="19AF5D0C"/>
    <w:rsid w:val="19BA5B7D"/>
    <w:rsid w:val="19C84C28"/>
    <w:rsid w:val="19CC0292"/>
    <w:rsid w:val="19F8587E"/>
    <w:rsid w:val="1A1911FD"/>
    <w:rsid w:val="1A2829B4"/>
    <w:rsid w:val="1A607EA5"/>
    <w:rsid w:val="1A932B4E"/>
    <w:rsid w:val="1AA048D5"/>
    <w:rsid w:val="1AAC18EF"/>
    <w:rsid w:val="1AC605C9"/>
    <w:rsid w:val="1ACD5153"/>
    <w:rsid w:val="1AFA562D"/>
    <w:rsid w:val="1AFB340C"/>
    <w:rsid w:val="1B056B32"/>
    <w:rsid w:val="1B3D41E2"/>
    <w:rsid w:val="1B584C36"/>
    <w:rsid w:val="1B5C7199"/>
    <w:rsid w:val="1B780194"/>
    <w:rsid w:val="1B8E4015"/>
    <w:rsid w:val="1BA15D3E"/>
    <w:rsid w:val="1BE353E5"/>
    <w:rsid w:val="1BEE1C24"/>
    <w:rsid w:val="1BF57AF7"/>
    <w:rsid w:val="1C0354BC"/>
    <w:rsid w:val="1C1E0AB5"/>
    <w:rsid w:val="1C2B4465"/>
    <w:rsid w:val="1C33473D"/>
    <w:rsid w:val="1C4B02DB"/>
    <w:rsid w:val="1C60504D"/>
    <w:rsid w:val="1C626C4B"/>
    <w:rsid w:val="1C6A3E0B"/>
    <w:rsid w:val="1CC052B0"/>
    <w:rsid w:val="1CC5527B"/>
    <w:rsid w:val="1CD34360"/>
    <w:rsid w:val="1CE31557"/>
    <w:rsid w:val="1D21589A"/>
    <w:rsid w:val="1D2A1703"/>
    <w:rsid w:val="1D4672A6"/>
    <w:rsid w:val="1D481582"/>
    <w:rsid w:val="1D570C42"/>
    <w:rsid w:val="1D6B7BF0"/>
    <w:rsid w:val="1D835AE4"/>
    <w:rsid w:val="1DAB1B74"/>
    <w:rsid w:val="1DB42CFD"/>
    <w:rsid w:val="1DDC7B33"/>
    <w:rsid w:val="1DEA6BDD"/>
    <w:rsid w:val="1E1C46C5"/>
    <w:rsid w:val="1E2C77D5"/>
    <w:rsid w:val="1E2D6D23"/>
    <w:rsid w:val="1E463449"/>
    <w:rsid w:val="1E7726E6"/>
    <w:rsid w:val="1E887B47"/>
    <w:rsid w:val="1EC64A9D"/>
    <w:rsid w:val="1ED97F5E"/>
    <w:rsid w:val="1EEA73DE"/>
    <w:rsid w:val="1EEB54F0"/>
    <w:rsid w:val="1EF950CE"/>
    <w:rsid w:val="1F08137E"/>
    <w:rsid w:val="1F093327"/>
    <w:rsid w:val="1F107183"/>
    <w:rsid w:val="1F1F5023"/>
    <w:rsid w:val="1F204627"/>
    <w:rsid w:val="1F856829"/>
    <w:rsid w:val="1F8D1277"/>
    <w:rsid w:val="1FA26D41"/>
    <w:rsid w:val="1FB401AA"/>
    <w:rsid w:val="1FB62837"/>
    <w:rsid w:val="1FE22461"/>
    <w:rsid w:val="1FEA3039"/>
    <w:rsid w:val="1FF52FE4"/>
    <w:rsid w:val="201D076F"/>
    <w:rsid w:val="20336B1C"/>
    <w:rsid w:val="20421A6C"/>
    <w:rsid w:val="20461E5C"/>
    <w:rsid w:val="20A902C3"/>
    <w:rsid w:val="2126105B"/>
    <w:rsid w:val="21264A5F"/>
    <w:rsid w:val="212744F9"/>
    <w:rsid w:val="21A4401C"/>
    <w:rsid w:val="21A96A08"/>
    <w:rsid w:val="21BB6D03"/>
    <w:rsid w:val="21C145C0"/>
    <w:rsid w:val="21FB0B8C"/>
    <w:rsid w:val="22165595"/>
    <w:rsid w:val="22221635"/>
    <w:rsid w:val="222B0081"/>
    <w:rsid w:val="22714B76"/>
    <w:rsid w:val="22735549"/>
    <w:rsid w:val="227E3A54"/>
    <w:rsid w:val="22810FF0"/>
    <w:rsid w:val="22D83837"/>
    <w:rsid w:val="22E34E7C"/>
    <w:rsid w:val="22E979B7"/>
    <w:rsid w:val="22EE1374"/>
    <w:rsid w:val="23250703"/>
    <w:rsid w:val="233475B3"/>
    <w:rsid w:val="235E4D13"/>
    <w:rsid w:val="23791F56"/>
    <w:rsid w:val="238826AD"/>
    <w:rsid w:val="23A14CF8"/>
    <w:rsid w:val="23E1793C"/>
    <w:rsid w:val="23E7120B"/>
    <w:rsid w:val="23E7648F"/>
    <w:rsid w:val="23F63A81"/>
    <w:rsid w:val="23F94DA5"/>
    <w:rsid w:val="24027129"/>
    <w:rsid w:val="240F5C1B"/>
    <w:rsid w:val="24394CE2"/>
    <w:rsid w:val="243B6C3B"/>
    <w:rsid w:val="246F478D"/>
    <w:rsid w:val="2473727F"/>
    <w:rsid w:val="24C06F36"/>
    <w:rsid w:val="24C47322"/>
    <w:rsid w:val="24EC6136"/>
    <w:rsid w:val="24FB33D3"/>
    <w:rsid w:val="25107857"/>
    <w:rsid w:val="253761CF"/>
    <w:rsid w:val="253D4681"/>
    <w:rsid w:val="254A3E37"/>
    <w:rsid w:val="256206AF"/>
    <w:rsid w:val="25B64A05"/>
    <w:rsid w:val="25F5632B"/>
    <w:rsid w:val="2609257A"/>
    <w:rsid w:val="260F6BD5"/>
    <w:rsid w:val="26287350"/>
    <w:rsid w:val="262E2202"/>
    <w:rsid w:val="264A390A"/>
    <w:rsid w:val="265D70DC"/>
    <w:rsid w:val="266556D2"/>
    <w:rsid w:val="2695787C"/>
    <w:rsid w:val="26BD4622"/>
    <w:rsid w:val="26CD4CE4"/>
    <w:rsid w:val="26D242B5"/>
    <w:rsid w:val="26DC7675"/>
    <w:rsid w:val="26DD373D"/>
    <w:rsid w:val="26DF51F0"/>
    <w:rsid w:val="26F2250E"/>
    <w:rsid w:val="27007C35"/>
    <w:rsid w:val="27007ED4"/>
    <w:rsid w:val="271D7FA2"/>
    <w:rsid w:val="277E3DF7"/>
    <w:rsid w:val="278D7AFA"/>
    <w:rsid w:val="27970E04"/>
    <w:rsid w:val="27C6010D"/>
    <w:rsid w:val="27CC090C"/>
    <w:rsid w:val="27CC3997"/>
    <w:rsid w:val="28147E2F"/>
    <w:rsid w:val="282576A5"/>
    <w:rsid w:val="28346404"/>
    <w:rsid w:val="287B6511"/>
    <w:rsid w:val="28B17385"/>
    <w:rsid w:val="28C64DCA"/>
    <w:rsid w:val="28E707FA"/>
    <w:rsid w:val="28FE5512"/>
    <w:rsid w:val="29062B20"/>
    <w:rsid w:val="29181DA8"/>
    <w:rsid w:val="291C68AC"/>
    <w:rsid w:val="29473769"/>
    <w:rsid w:val="29724362"/>
    <w:rsid w:val="297D3F94"/>
    <w:rsid w:val="29955751"/>
    <w:rsid w:val="29982E90"/>
    <w:rsid w:val="29AA583B"/>
    <w:rsid w:val="29AC46F4"/>
    <w:rsid w:val="29C922A8"/>
    <w:rsid w:val="29D76C9D"/>
    <w:rsid w:val="2A0F6C56"/>
    <w:rsid w:val="2A2E6D8F"/>
    <w:rsid w:val="2A421145"/>
    <w:rsid w:val="2A460EB3"/>
    <w:rsid w:val="2A503CDB"/>
    <w:rsid w:val="2AE54B1D"/>
    <w:rsid w:val="2B1F2DC4"/>
    <w:rsid w:val="2B484573"/>
    <w:rsid w:val="2B49117C"/>
    <w:rsid w:val="2B8E7551"/>
    <w:rsid w:val="2BB0314A"/>
    <w:rsid w:val="2BB57415"/>
    <w:rsid w:val="2BB90FCD"/>
    <w:rsid w:val="2BD04CC7"/>
    <w:rsid w:val="2BE92B3C"/>
    <w:rsid w:val="2BF1081E"/>
    <w:rsid w:val="2C327F7F"/>
    <w:rsid w:val="2C7F2AEB"/>
    <w:rsid w:val="2C8417A1"/>
    <w:rsid w:val="2C892A75"/>
    <w:rsid w:val="2C8D5063"/>
    <w:rsid w:val="2C931796"/>
    <w:rsid w:val="2C9A26C1"/>
    <w:rsid w:val="2C9F4DC8"/>
    <w:rsid w:val="2CB33DAF"/>
    <w:rsid w:val="2CBC294C"/>
    <w:rsid w:val="2CD00090"/>
    <w:rsid w:val="2CD04CE3"/>
    <w:rsid w:val="2D036AB0"/>
    <w:rsid w:val="2D042061"/>
    <w:rsid w:val="2D051917"/>
    <w:rsid w:val="2D2D68EC"/>
    <w:rsid w:val="2D9D109D"/>
    <w:rsid w:val="2DAC5A1C"/>
    <w:rsid w:val="2DAF75FE"/>
    <w:rsid w:val="2DCA3495"/>
    <w:rsid w:val="2DCA5E14"/>
    <w:rsid w:val="2DF30A50"/>
    <w:rsid w:val="2DFB1057"/>
    <w:rsid w:val="2E0163A8"/>
    <w:rsid w:val="2E115A3E"/>
    <w:rsid w:val="2E5D208E"/>
    <w:rsid w:val="2E6C7F53"/>
    <w:rsid w:val="2EA75D4E"/>
    <w:rsid w:val="2ECC7648"/>
    <w:rsid w:val="2ECD26B4"/>
    <w:rsid w:val="2EE112C9"/>
    <w:rsid w:val="2F184869"/>
    <w:rsid w:val="2F48253F"/>
    <w:rsid w:val="2F6D1894"/>
    <w:rsid w:val="2F783C30"/>
    <w:rsid w:val="2F854862"/>
    <w:rsid w:val="2F8C1E45"/>
    <w:rsid w:val="2F8C669C"/>
    <w:rsid w:val="2FB66570"/>
    <w:rsid w:val="2FCF3EEC"/>
    <w:rsid w:val="2FF57C3A"/>
    <w:rsid w:val="2FF80C51"/>
    <w:rsid w:val="2FFE778F"/>
    <w:rsid w:val="30073BA1"/>
    <w:rsid w:val="30220220"/>
    <w:rsid w:val="30334092"/>
    <w:rsid w:val="30335115"/>
    <w:rsid w:val="303F3ABB"/>
    <w:rsid w:val="30B70FE9"/>
    <w:rsid w:val="30CC29C7"/>
    <w:rsid w:val="30E57CC3"/>
    <w:rsid w:val="30FD33A8"/>
    <w:rsid w:val="31067665"/>
    <w:rsid w:val="315665D0"/>
    <w:rsid w:val="315D4C03"/>
    <w:rsid w:val="31673D4D"/>
    <w:rsid w:val="31950990"/>
    <w:rsid w:val="31CA7C8B"/>
    <w:rsid w:val="31CE331C"/>
    <w:rsid w:val="31FC5393"/>
    <w:rsid w:val="32045444"/>
    <w:rsid w:val="320D6C68"/>
    <w:rsid w:val="324B74C8"/>
    <w:rsid w:val="325029E4"/>
    <w:rsid w:val="32B41015"/>
    <w:rsid w:val="32B83797"/>
    <w:rsid w:val="32BE3577"/>
    <w:rsid w:val="32D54633"/>
    <w:rsid w:val="32D56AAB"/>
    <w:rsid w:val="33604C72"/>
    <w:rsid w:val="338710DA"/>
    <w:rsid w:val="33895EAB"/>
    <w:rsid w:val="33970A31"/>
    <w:rsid w:val="33D55FD8"/>
    <w:rsid w:val="33FE000C"/>
    <w:rsid w:val="340D171E"/>
    <w:rsid w:val="341F0EA7"/>
    <w:rsid w:val="342750AF"/>
    <w:rsid w:val="343C48DC"/>
    <w:rsid w:val="34445D9B"/>
    <w:rsid w:val="345C6EA0"/>
    <w:rsid w:val="347C3FD8"/>
    <w:rsid w:val="347E363B"/>
    <w:rsid w:val="347F60F0"/>
    <w:rsid w:val="34945433"/>
    <w:rsid w:val="349A1E39"/>
    <w:rsid w:val="349C35B5"/>
    <w:rsid w:val="34A917D2"/>
    <w:rsid w:val="34AB7A1F"/>
    <w:rsid w:val="34E42981"/>
    <w:rsid w:val="34EF4B87"/>
    <w:rsid w:val="34F10B0A"/>
    <w:rsid w:val="352816A5"/>
    <w:rsid w:val="352912BC"/>
    <w:rsid w:val="352B4490"/>
    <w:rsid w:val="353006BF"/>
    <w:rsid w:val="35413ACD"/>
    <w:rsid w:val="35607B68"/>
    <w:rsid w:val="35B64EB9"/>
    <w:rsid w:val="35C0386F"/>
    <w:rsid w:val="35E314DB"/>
    <w:rsid w:val="35E3583F"/>
    <w:rsid w:val="35E6631F"/>
    <w:rsid w:val="35F068E8"/>
    <w:rsid w:val="36171DC5"/>
    <w:rsid w:val="36455972"/>
    <w:rsid w:val="3670222A"/>
    <w:rsid w:val="36AD6936"/>
    <w:rsid w:val="36CC7826"/>
    <w:rsid w:val="36E73C59"/>
    <w:rsid w:val="37105528"/>
    <w:rsid w:val="37121736"/>
    <w:rsid w:val="371606D6"/>
    <w:rsid w:val="3738129E"/>
    <w:rsid w:val="373B1CC4"/>
    <w:rsid w:val="375D7B59"/>
    <w:rsid w:val="379724AC"/>
    <w:rsid w:val="37C11D29"/>
    <w:rsid w:val="37DF1F1A"/>
    <w:rsid w:val="37F07337"/>
    <w:rsid w:val="37F83D4F"/>
    <w:rsid w:val="37F85797"/>
    <w:rsid w:val="37F97284"/>
    <w:rsid w:val="38125825"/>
    <w:rsid w:val="383273F1"/>
    <w:rsid w:val="38443E22"/>
    <w:rsid w:val="38732B96"/>
    <w:rsid w:val="38967D92"/>
    <w:rsid w:val="38B2498C"/>
    <w:rsid w:val="38B67CF6"/>
    <w:rsid w:val="38BC2565"/>
    <w:rsid w:val="38DE4DCB"/>
    <w:rsid w:val="390F0FDB"/>
    <w:rsid w:val="395E321B"/>
    <w:rsid w:val="397B0129"/>
    <w:rsid w:val="398937F5"/>
    <w:rsid w:val="3992407F"/>
    <w:rsid w:val="39A42F75"/>
    <w:rsid w:val="3A095FA3"/>
    <w:rsid w:val="3A0C259D"/>
    <w:rsid w:val="3A247E9E"/>
    <w:rsid w:val="3A3A5061"/>
    <w:rsid w:val="3A4D48EA"/>
    <w:rsid w:val="3A631E0C"/>
    <w:rsid w:val="3A646964"/>
    <w:rsid w:val="3AAB7E33"/>
    <w:rsid w:val="3ABF1230"/>
    <w:rsid w:val="3ACC76E6"/>
    <w:rsid w:val="3B06357D"/>
    <w:rsid w:val="3B193240"/>
    <w:rsid w:val="3B484609"/>
    <w:rsid w:val="3B505873"/>
    <w:rsid w:val="3B5A6D9D"/>
    <w:rsid w:val="3B7674B7"/>
    <w:rsid w:val="3B7E4DFF"/>
    <w:rsid w:val="3BA55F9B"/>
    <w:rsid w:val="3BB64DEA"/>
    <w:rsid w:val="3BCD19E7"/>
    <w:rsid w:val="3BE14070"/>
    <w:rsid w:val="3C103233"/>
    <w:rsid w:val="3C120A6F"/>
    <w:rsid w:val="3C6C28A6"/>
    <w:rsid w:val="3C7060DA"/>
    <w:rsid w:val="3C7D2DE3"/>
    <w:rsid w:val="3CE01FB4"/>
    <w:rsid w:val="3CF70E32"/>
    <w:rsid w:val="3CF86937"/>
    <w:rsid w:val="3D342689"/>
    <w:rsid w:val="3D492553"/>
    <w:rsid w:val="3D55445D"/>
    <w:rsid w:val="3D6E0C3B"/>
    <w:rsid w:val="3D972A8E"/>
    <w:rsid w:val="3D992BE2"/>
    <w:rsid w:val="3DC311F2"/>
    <w:rsid w:val="3DC47D28"/>
    <w:rsid w:val="3DE3029B"/>
    <w:rsid w:val="3DF83E3B"/>
    <w:rsid w:val="3DFC18BD"/>
    <w:rsid w:val="3E057C97"/>
    <w:rsid w:val="3E8E4B07"/>
    <w:rsid w:val="3E8F3986"/>
    <w:rsid w:val="3E904D32"/>
    <w:rsid w:val="3E9555E9"/>
    <w:rsid w:val="3EB94A5D"/>
    <w:rsid w:val="3EC11C25"/>
    <w:rsid w:val="3EC639FA"/>
    <w:rsid w:val="3EE06AE7"/>
    <w:rsid w:val="3F400397"/>
    <w:rsid w:val="3F4E0899"/>
    <w:rsid w:val="3F915334"/>
    <w:rsid w:val="3FA6268D"/>
    <w:rsid w:val="3FA80EDB"/>
    <w:rsid w:val="3FBD3D66"/>
    <w:rsid w:val="3FBF4E9D"/>
    <w:rsid w:val="40164AED"/>
    <w:rsid w:val="4077435A"/>
    <w:rsid w:val="40920B61"/>
    <w:rsid w:val="40A026B2"/>
    <w:rsid w:val="40E55B37"/>
    <w:rsid w:val="410F1245"/>
    <w:rsid w:val="4124398E"/>
    <w:rsid w:val="4195017E"/>
    <w:rsid w:val="419D5B8D"/>
    <w:rsid w:val="41F77652"/>
    <w:rsid w:val="423C2823"/>
    <w:rsid w:val="424D6740"/>
    <w:rsid w:val="426F3361"/>
    <w:rsid w:val="429C1A17"/>
    <w:rsid w:val="42A3273A"/>
    <w:rsid w:val="42B12E78"/>
    <w:rsid w:val="42B360C9"/>
    <w:rsid w:val="42B9488B"/>
    <w:rsid w:val="42BB6786"/>
    <w:rsid w:val="42DC1196"/>
    <w:rsid w:val="42EA5FB4"/>
    <w:rsid w:val="430600B4"/>
    <w:rsid w:val="431F45A7"/>
    <w:rsid w:val="43305EF3"/>
    <w:rsid w:val="433409E5"/>
    <w:rsid w:val="434F11C4"/>
    <w:rsid w:val="43675A04"/>
    <w:rsid w:val="439F1527"/>
    <w:rsid w:val="43AD1D66"/>
    <w:rsid w:val="43C344CE"/>
    <w:rsid w:val="43DC723C"/>
    <w:rsid w:val="44041205"/>
    <w:rsid w:val="44132AE2"/>
    <w:rsid w:val="441A24B6"/>
    <w:rsid w:val="441A3F2B"/>
    <w:rsid w:val="44465519"/>
    <w:rsid w:val="446421C7"/>
    <w:rsid w:val="44651894"/>
    <w:rsid w:val="44725502"/>
    <w:rsid w:val="448A26F8"/>
    <w:rsid w:val="449C327C"/>
    <w:rsid w:val="44A87F30"/>
    <w:rsid w:val="44E6156A"/>
    <w:rsid w:val="45065568"/>
    <w:rsid w:val="450C3C4E"/>
    <w:rsid w:val="450E4B3C"/>
    <w:rsid w:val="45327E35"/>
    <w:rsid w:val="45344C46"/>
    <w:rsid w:val="453F1647"/>
    <w:rsid w:val="456D7411"/>
    <w:rsid w:val="45834C38"/>
    <w:rsid w:val="459E3C3E"/>
    <w:rsid w:val="45B86CF6"/>
    <w:rsid w:val="45DE4E6B"/>
    <w:rsid w:val="45E25FDB"/>
    <w:rsid w:val="45ED02A1"/>
    <w:rsid w:val="45F13654"/>
    <w:rsid w:val="464A1ED8"/>
    <w:rsid w:val="46600BDF"/>
    <w:rsid w:val="46696CCB"/>
    <w:rsid w:val="46C810EF"/>
    <w:rsid w:val="46E257D5"/>
    <w:rsid w:val="475265F9"/>
    <w:rsid w:val="47557989"/>
    <w:rsid w:val="47622F48"/>
    <w:rsid w:val="47662A70"/>
    <w:rsid w:val="4767527A"/>
    <w:rsid w:val="477112E0"/>
    <w:rsid w:val="477E70F1"/>
    <w:rsid w:val="47983216"/>
    <w:rsid w:val="47A1454C"/>
    <w:rsid w:val="47AD7B73"/>
    <w:rsid w:val="47AE54BD"/>
    <w:rsid w:val="481A7E58"/>
    <w:rsid w:val="482E2E6F"/>
    <w:rsid w:val="486077E9"/>
    <w:rsid w:val="488F1B48"/>
    <w:rsid w:val="48CE3E95"/>
    <w:rsid w:val="49433250"/>
    <w:rsid w:val="4944683A"/>
    <w:rsid w:val="49483AE1"/>
    <w:rsid w:val="4964312D"/>
    <w:rsid w:val="49AC7CEF"/>
    <w:rsid w:val="49ED54D4"/>
    <w:rsid w:val="4A021E4C"/>
    <w:rsid w:val="4A2B2C78"/>
    <w:rsid w:val="4A5B5D19"/>
    <w:rsid w:val="4A636884"/>
    <w:rsid w:val="4A6B737E"/>
    <w:rsid w:val="4AAF27F8"/>
    <w:rsid w:val="4AD352BB"/>
    <w:rsid w:val="4AEC2BD6"/>
    <w:rsid w:val="4AEC71C8"/>
    <w:rsid w:val="4AF66B9A"/>
    <w:rsid w:val="4B2A4788"/>
    <w:rsid w:val="4B474F51"/>
    <w:rsid w:val="4B543EA3"/>
    <w:rsid w:val="4BDF12E5"/>
    <w:rsid w:val="4BE930EE"/>
    <w:rsid w:val="4BEA3AC1"/>
    <w:rsid w:val="4BF278C5"/>
    <w:rsid w:val="4BFE7D23"/>
    <w:rsid w:val="4C053EAF"/>
    <w:rsid w:val="4C083D6B"/>
    <w:rsid w:val="4C2E51CD"/>
    <w:rsid w:val="4C3B1C8F"/>
    <w:rsid w:val="4C475E14"/>
    <w:rsid w:val="4CD23C05"/>
    <w:rsid w:val="4CE36E22"/>
    <w:rsid w:val="4D235727"/>
    <w:rsid w:val="4D2D1CDF"/>
    <w:rsid w:val="4DA04F43"/>
    <w:rsid w:val="4DC87622"/>
    <w:rsid w:val="4E0C1CCE"/>
    <w:rsid w:val="4E551F29"/>
    <w:rsid w:val="4E596651"/>
    <w:rsid w:val="4E5B2645"/>
    <w:rsid w:val="4E5C5CF7"/>
    <w:rsid w:val="4EA72111"/>
    <w:rsid w:val="4EA8070C"/>
    <w:rsid w:val="4EAB59AC"/>
    <w:rsid w:val="4EB6029F"/>
    <w:rsid w:val="4EC70697"/>
    <w:rsid w:val="4F0D03B7"/>
    <w:rsid w:val="4F59058E"/>
    <w:rsid w:val="4F594D77"/>
    <w:rsid w:val="4F7F7DE6"/>
    <w:rsid w:val="4FA20F1F"/>
    <w:rsid w:val="4FAD4EE0"/>
    <w:rsid w:val="4FB437DA"/>
    <w:rsid w:val="4FB91116"/>
    <w:rsid w:val="4FC25B8B"/>
    <w:rsid w:val="4FE43E3A"/>
    <w:rsid w:val="4FF2073F"/>
    <w:rsid w:val="500700D3"/>
    <w:rsid w:val="500F7F5D"/>
    <w:rsid w:val="50184637"/>
    <w:rsid w:val="50280768"/>
    <w:rsid w:val="503A517E"/>
    <w:rsid w:val="504B2837"/>
    <w:rsid w:val="50762272"/>
    <w:rsid w:val="508C43F0"/>
    <w:rsid w:val="50992646"/>
    <w:rsid w:val="50B670A8"/>
    <w:rsid w:val="50CD4378"/>
    <w:rsid w:val="50D2241E"/>
    <w:rsid w:val="50D42C7E"/>
    <w:rsid w:val="50E926D0"/>
    <w:rsid w:val="50FA599D"/>
    <w:rsid w:val="513A5B5D"/>
    <w:rsid w:val="515D148F"/>
    <w:rsid w:val="51606BFC"/>
    <w:rsid w:val="519876B8"/>
    <w:rsid w:val="51A10F2A"/>
    <w:rsid w:val="51BB025B"/>
    <w:rsid w:val="523C365B"/>
    <w:rsid w:val="52452092"/>
    <w:rsid w:val="52681B98"/>
    <w:rsid w:val="526D2898"/>
    <w:rsid w:val="526E4730"/>
    <w:rsid w:val="527D7845"/>
    <w:rsid w:val="528A3E99"/>
    <w:rsid w:val="52A11029"/>
    <w:rsid w:val="53160FA9"/>
    <w:rsid w:val="53227120"/>
    <w:rsid w:val="533203B9"/>
    <w:rsid w:val="53712B69"/>
    <w:rsid w:val="537330F0"/>
    <w:rsid w:val="5376752B"/>
    <w:rsid w:val="53A53FF8"/>
    <w:rsid w:val="53BC139D"/>
    <w:rsid w:val="53C02167"/>
    <w:rsid w:val="5408251D"/>
    <w:rsid w:val="540F7CC5"/>
    <w:rsid w:val="541C6871"/>
    <w:rsid w:val="54471EB6"/>
    <w:rsid w:val="545C3613"/>
    <w:rsid w:val="545E070E"/>
    <w:rsid w:val="547B75B9"/>
    <w:rsid w:val="548B315E"/>
    <w:rsid w:val="548D19C7"/>
    <w:rsid w:val="54A52529"/>
    <w:rsid w:val="550C1AC2"/>
    <w:rsid w:val="55503B49"/>
    <w:rsid w:val="55631CAE"/>
    <w:rsid w:val="55767064"/>
    <w:rsid w:val="5577482E"/>
    <w:rsid w:val="558D75DE"/>
    <w:rsid w:val="55AF28D0"/>
    <w:rsid w:val="55B45685"/>
    <w:rsid w:val="55CA35B9"/>
    <w:rsid w:val="55DC427B"/>
    <w:rsid w:val="55FB558D"/>
    <w:rsid w:val="560C6573"/>
    <w:rsid w:val="561956D4"/>
    <w:rsid w:val="56244D9A"/>
    <w:rsid w:val="562D2032"/>
    <w:rsid w:val="562E2C9A"/>
    <w:rsid w:val="564C4F6C"/>
    <w:rsid w:val="56560F9D"/>
    <w:rsid w:val="56A53E73"/>
    <w:rsid w:val="56A87DAB"/>
    <w:rsid w:val="56D01CCC"/>
    <w:rsid w:val="56E85FEE"/>
    <w:rsid w:val="572F0FEC"/>
    <w:rsid w:val="573054EE"/>
    <w:rsid w:val="574C586F"/>
    <w:rsid w:val="57757BAE"/>
    <w:rsid w:val="57773E10"/>
    <w:rsid w:val="57B67C8D"/>
    <w:rsid w:val="57BA277F"/>
    <w:rsid w:val="57D45B2D"/>
    <w:rsid w:val="585D5CDD"/>
    <w:rsid w:val="58650EF0"/>
    <w:rsid w:val="586862BC"/>
    <w:rsid w:val="588A3951"/>
    <w:rsid w:val="58BF28C3"/>
    <w:rsid w:val="58DF1EFB"/>
    <w:rsid w:val="58E44CE6"/>
    <w:rsid w:val="58F84874"/>
    <w:rsid w:val="58F96309"/>
    <w:rsid w:val="590133D1"/>
    <w:rsid w:val="592D37E6"/>
    <w:rsid w:val="5932703B"/>
    <w:rsid w:val="594228F0"/>
    <w:rsid w:val="59427A42"/>
    <w:rsid w:val="59686B4C"/>
    <w:rsid w:val="596A4F3B"/>
    <w:rsid w:val="59812B84"/>
    <w:rsid w:val="5987558A"/>
    <w:rsid w:val="59C00AE4"/>
    <w:rsid w:val="59C609C5"/>
    <w:rsid w:val="5A256BDF"/>
    <w:rsid w:val="5A3B2BAE"/>
    <w:rsid w:val="5A4841E7"/>
    <w:rsid w:val="5A783688"/>
    <w:rsid w:val="5A805435"/>
    <w:rsid w:val="5A9970A6"/>
    <w:rsid w:val="5A9B5B11"/>
    <w:rsid w:val="5AA92495"/>
    <w:rsid w:val="5AB431E4"/>
    <w:rsid w:val="5ACC6766"/>
    <w:rsid w:val="5AD15D55"/>
    <w:rsid w:val="5B0B62BD"/>
    <w:rsid w:val="5B166A28"/>
    <w:rsid w:val="5B1F2E9F"/>
    <w:rsid w:val="5B224571"/>
    <w:rsid w:val="5B3524F6"/>
    <w:rsid w:val="5B505B2C"/>
    <w:rsid w:val="5B721072"/>
    <w:rsid w:val="5B776BAC"/>
    <w:rsid w:val="5B8424D5"/>
    <w:rsid w:val="5BBA5B00"/>
    <w:rsid w:val="5BBB055E"/>
    <w:rsid w:val="5BE35AFC"/>
    <w:rsid w:val="5BFF6736"/>
    <w:rsid w:val="5C255EB5"/>
    <w:rsid w:val="5C302D7B"/>
    <w:rsid w:val="5C430981"/>
    <w:rsid w:val="5C4532EA"/>
    <w:rsid w:val="5C6E0BD2"/>
    <w:rsid w:val="5C9F55E2"/>
    <w:rsid w:val="5CA0198A"/>
    <w:rsid w:val="5CC15D6D"/>
    <w:rsid w:val="5CC50CC2"/>
    <w:rsid w:val="5CD167E9"/>
    <w:rsid w:val="5CD6220F"/>
    <w:rsid w:val="5CE223C5"/>
    <w:rsid w:val="5D0A064E"/>
    <w:rsid w:val="5D155D4B"/>
    <w:rsid w:val="5D3E3EC8"/>
    <w:rsid w:val="5D504385"/>
    <w:rsid w:val="5DB251BE"/>
    <w:rsid w:val="5DBD7190"/>
    <w:rsid w:val="5DD820AD"/>
    <w:rsid w:val="5DE22614"/>
    <w:rsid w:val="5E0905C3"/>
    <w:rsid w:val="5E196F30"/>
    <w:rsid w:val="5E5068DA"/>
    <w:rsid w:val="5E524C74"/>
    <w:rsid w:val="5E6D092C"/>
    <w:rsid w:val="5EE80EB5"/>
    <w:rsid w:val="5EEE71A3"/>
    <w:rsid w:val="5EF659E3"/>
    <w:rsid w:val="5EF92FC1"/>
    <w:rsid w:val="5F071250"/>
    <w:rsid w:val="5F0B73F3"/>
    <w:rsid w:val="5F2109CB"/>
    <w:rsid w:val="5F221E01"/>
    <w:rsid w:val="5F373133"/>
    <w:rsid w:val="5F394EB8"/>
    <w:rsid w:val="5F422E01"/>
    <w:rsid w:val="5F5A0CBA"/>
    <w:rsid w:val="5F64678F"/>
    <w:rsid w:val="5F691E20"/>
    <w:rsid w:val="5F95684F"/>
    <w:rsid w:val="5F9B2615"/>
    <w:rsid w:val="5FA43DB6"/>
    <w:rsid w:val="5FC25FB6"/>
    <w:rsid w:val="5FC41D79"/>
    <w:rsid w:val="5FD5429E"/>
    <w:rsid w:val="5FF94273"/>
    <w:rsid w:val="60131111"/>
    <w:rsid w:val="60301367"/>
    <w:rsid w:val="60326392"/>
    <w:rsid w:val="603275D4"/>
    <w:rsid w:val="60414903"/>
    <w:rsid w:val="60970446"/>
    <w:rsid w:val="60DB2F2F"/>
    <w:rsid w:val="60DB5533"/>
    <w:rsid w:val="60E75B2D"/>
    <w:rsid w:val="612D5D4A"/>
    <w:rsid w:val="614468A9"/>
    <w:rsid w:val="614C0B75"/>
    <w:rsid w:val="61513F98"/>
    <w:rsid w:val="61681C4A"/>
    <w:rsid w:val="618F6AAB"/>
    <w:rsid w:val="619B726F"/>
    <w:rsid w:val="61A84853"/>
    <w:rsid w:val="61C64475"/>
    <w:rsid w:val="61F555BE"/>
    <w:rsid w:val="62060E2D"/>
    <w:rsid w:val="62091B40"/>
    <w:rsid w:val="62404BAA"/>
    <w:rsid w:val="624D7D8D"/>
    <w:rsid w:val="625A2F33"/>
    <w:rsid w:val="625B4D27"/>
    <w:rsid w:val="626D566E"/>
    <w:rsid w:val="6280007B"/>
    <w:rsid w:val="628903D6"/>
    <w:rsid w:val="62A16D31"/>
    <w:rsid w:val="62C63AF1"/>
    <w:rsid w:val="63183919"/>
    <w:rsid w:val="632266DB"/>
    <w:rsid w:val="634E42C3"/>
    <w:rsid w:val="63723FDB"/>
    <w:rsid w:val="638869A4"/>
    <w:rsid w:val="63920058"/>
    <w:rsid w:val="6398758B"/>
    <w:rsid w:val="63A01C3B"/>
    <w:rsid w:val="63C4735F"/>
    <w:rsid w:val="63D60682"/>
    <w:rsid w:val="63DB1BFD"/>
    <w:rsid w:val="63FD5906"/>
    <w:rsid w:val="64187AA1"/>
    <w:rsid w:val="642B6DB4"/>
    <w:rsid w:val="6489157D"/>
    <w:rsid w:val="649B32E0"/>
    <w:rsid w:val="64A2188E"/>
    <w:rsid w:val="64CD25B1"/>
    <w:rsid w:val="64CF2CAC"/>
    <w:rsid w:val="64D169A5"/>
    <w:rsid w:val="64D81563"/>
    <w:rsid w:val="64EE4C72"/>
    <w:rsid w:val="650F3024"/>
    <w:rsid w:val="65226952"/>
    <w:rsid w:val="656329DE"/>
    <w:rsid w:val="657C554C"/>
    <w:rsid w:val="65A45CCD"/>
    <w:rsid w:val="65C02CE4"/>
    <w:rsid w:val="65C57872"/>
    <w:rsid w:val="65D106AB"/>
    <w:rsid w:val="65EA1B28"/>
    <w:rsid w:val="660D63BF"/>
    <w:rsid w:val="66141EB5"/>
    <w:rsid w:val="66152731"/>
    <w:rsid w:val="66751798"/>
    <w:rsid w:val="66A37E73"/>
    <w:rsid w:val="66E272D6"/>
    <w:rsid w:val="66F3043C"/>
    <w:rsid w:val="66FB25D2"/>
    <w:rsid w:val="6707319F"/>
    <w:rsid w:val="67073707"/>
    <w:rsid w:val="673050F3"/>
    <w:rsid w:val="67630F91"/>
    <w:rsid w:val="67674FB3"/>
    <w:rsid w:val="67723C3F"/>
    <w:rsid w:val="677A5686"/>
    <w:rsid w:val="677B5B6F"/>
    <w:rsid w:val="67997BBD"/>
    <w:rsid w:val="67AD298A"/>
    <w:rsid w:val="67E617FF"/>
    <w:rsid w:val="67E75D23"/>
    <w:rsid w:val="680359DA"/>
    <w:rsid w:val="682076B6"/>
    <w:rsid w:val="684814E6"/>
    <w:rsid w:val="685A2957"/>
    <w:rsid w:val="68856135"/>
    <w:rsid w:val="688D2C52"/>
    <w:rsid w:val="68C019B7"/>
    <w:rsid w:val="68EF39C7"/>
    <w:rsid w:val="691569A2"/>
    <w:rsid w:val="692A7707"/>
    <w:rsid w:val="69362DA2"/>
    <w:rsid w:val="698E580C"/>
    <w:rsid w:val="69CE29BB"/>
    <w:rsid w:val="69FA593D"/>
    <w:rsid w:val="6A036897"/>
    <w:rsid w:val="6A190B96"/>
    <w:rsid w:val="6A25776D"/>
    <w:rsid w:val="6A6A2D76"/>
    <w:rsid w:val="6A801BD2"/>
    <w:rsid w:val="6ADA15C6"/>
    <w:rsid w:val="6AE03628"/>
    <w:rsid w:val="6AF403FB"/>
    <w:rsid w:val="6AFB5D68"/>
    <w:rsid w:val="6B1104B4"/>
    <w:rsid w:val="6B3E0B0C"/>
    <w:rsid w:val="6B4B2610"/>
    <w:rsid w:val="6B5143F8"/>
    <w:rsid w:val="6B6E5A2C"/>
    <w:rsid w:val="6B842A13"/>
    <w:rsid w:val="6B99259F"/>
    <w:rsid w:val="6BB73475"/>
    <w:rsid w:val="6BE07686"/>
    <w:rsid w:val="6BF2146B"/>
    <w:rsid w:val="6C0677B7"/>
    <w:rsid w:val="6C1449A1"/>
    <w:rsid w:val="6C4935C3"/>
    <w:rsid w:val="6C614F0D"/>
    <w:rsid w:val="6C6D5692"/>
    <w:rsid w:val="6C832979"/>
    <w:rsid w:val="6CC62FED"/>
    <w:rsid w:val="6CD25675"/>
    <w:rsid w:val="6CDC3CEC"/>
    <w:rsid w:val="6D033478"/>
    <w:rsid w:val="6D126C64"/>
    <w:rsid w:val="6D1F408F"/>
    <w:rsid w:val="6D752521"/>
    <w:rsid w:val="6D987FF5"/>
    <w:rsid w:val="6DB017ED"/>
    <w:rsid w:val="6E065CAD"/>
    <w:rsid w:val="6E216C2F"/>
    <w:rsid w:val="6E237C5B"/>
    <w:rsid w:val="6E5975E8"/>
    <w:rsid w:val="6E705FA1"/>
    <w:rsid w:val="6E7C313F"/>
    <w:rsid w:val="6E952EB1"/>
    <w:rsid w:val="6E9F4AB8"/>
    <w:rsid w:val="6EA73235"/>
    <w:rsid w:val="6EBD5EBF"/>
    <w:rsid w:val="6ECD20C9"/>
    <w:rsid w:val="6EE11027"/>
    <w:rsid w:val="6F114BDC"/>
    <w:rsid w:val="6F356146"/>
    <w:rsid w:val="6F42518A"/>
    <w:rsid w:val="6F4816F9"/>
    <w:rsid w:val="6FA21C45"/>
    <w:rsid w:val="6FB66FA9"/>
    <w:rsid w:val="6FBB3F69"/>
    <w:rsid w:val="6FEF32B0"/>
    <w:rsid w:val="6FEF5FFF"/>
    <w:rsid w:val="701413D7"/>
    <w:rsid w:val="703507E8"/>
    <w:rsid w:val="704A2F79"/>
    <w:rsid w:val="704B50F4"/>
    <w:rsid w:val="7082657D"/>
    <w:rsid w:val="708C3EDA"/>
    <w:rsid w:val="7099764F"/>
    <w:rsid w:val="70A62F6D"/>
    <w:rsid w:val="70BE3698"/>
    <w:rsid w:val="70BF683C"/>
    <w:rsid w:val="70ED7A88"/>
    <w:rsid w:val="71045607"/>
    <w:rsid w:val="71055661"/>
    <w:rsid w:val="713A7667"/>
    <w:rsid w:val="71AA4135"/>
    <w:rsid w:val="71B278E6"/>
    <w:rsid w:val="71BE1D97"/>
    <w:rsid w:val="71C77B7F"/>
    <w:rsid w:val="72403CD4"/>
    <w:rsid w:val="724635CA"/>
    <w:rsid w:val="72473450"/>
    <w:rsid w:val="724D0A51"/>
    <w:rsid w:val="727E52B8"/>
    <w:rsid w:val="72E2408C"/>
    <w:rsid w:val="72EB47D9"/>
    <w:rsid w:val="73537BE2"/>
    <w:rsid w:val="737624C3"/>
    <w:rsid w:val="737C625E"/>
    <w:rsid w:val="73953180"/>
    <w:rsid w:val="739D35B2"/>
    <w:rsid w:val="73A72EB0"/>
    <w:rsid w:val="73AB43A0"/>
    <w:rsid w:val="73AB57CE"/>
    <w:rsid w:val="73B01D19"/>
    <w:rsid w:val="73B861CB"/>
    <w:rsid w:val="73BA4620"/>
    <w:rsid w:val="73C6500C"/>
    <w:rsid w:val="73C73B8C"/>
    <w:rsid w:val="73D47FF6"/>
    <w:rsid w:val="73D66E19"/>
    <w:rsid w:val="73E7659C"/>
    <w:rsid w:val="73EC0018"/>
    <w:rsid w:val="740B04E1"/>
    <w:rsid w:val="74235813"/>
    <w:rsid w:val="743B1097"/>
    <w:rsid w:val="743F5018"/>
    <w:rsid w:val="74785BC0"/>
    <w:rsid w:val="74873CF2"/>
    <w:rsid w:val="74B83B1A"/>
    <w:rsid w:val="74BA1537"/>
    <w:rsid w:val="751D43D6"/>
    <w:rsid w:val="751E23A7"/>
    <w:rsid w:val="7541305B"/>
    <w:rsid w:val="75456D79"/>
    <w:rsid w:val="754A3B4F"/>
    <w:rsid w:val="75A90DBF"/>
    <w:rsid w:val="75C30FAD"/>
    <w:rsid w:val="75C5796F"/>
    <w:rsid w:val="75F82559"/>
    <w:rsid w:val="760C25E7"/>
    <w:rsid w:val="76121EE3"/>
    <w:rsid w:val="761B33AF"/>
    <w:rsid w:val="765927F0"/>
    <w:rsid w:val="76715291"/>
    <w:rsid w:val="76802C8A"/>
    <w:rsid w:val="76807E29"/>
    <w:rsid w:val="76934E17"/>
    <w:rsid w:val="76967C6D"/>
    <w:rsid w:val="769762EA"/>
    <w:rsid w:val="76B86363"/>
    <w:rsid w:val="76CF5C5E"/>
    <w:rsid w:val="76F01BD6"/>
    <w:rsid w:val="771E7B4B"/>
    <w:rsid w:val="77400BBC"/>
    <w:rsid w:val="77692D92"/>
    <w:rsid w:val="777206D5"/>
    <w:rsid w:val="77B7489D"/>
    <w:rsid w:val="77CB48BE"/>
    <w:rsid w:val="77EF05ED"/>
    <w:rsid w:val="77FA7237"/>
    <w:rsid w:val="78171B06"/>
    <w:rsid w:val="78277EEF"/>
    <w:rsid w:val="78361C89"/>
    <w:rsid w:val="78504E72"/>
    <w:rsid w:val="786E24FB"/>
    <w:rsid w:val="78715A32"/>
    <w:rsid w:val="78721BE1"/>
    <w:rsid w:val="78735DBA"/>
    <w:rsid w:val="78A161FF"/>
    <w:rsid w:val="78CB1324"/>
    <w:rsid w:val="78D24A47"/>
    <w:rsid w:val="78D33D60"/>
    <w:rsid w:val="78EC78E8"/>
    <w:rsid w:val="79100562"/>
    <w:rsid w:val="79156E5A"/>
    <w:rsid w:val="79331024"/>
    <w:rsid w:val="794A0CAE"/>
    <w:rsid w:val="794F03AD"/>
    <w:rsid w:val="7967201E"/>
    <w:rsid w:val="79775B0D"/>
    <w:rsid w:val="79885558"/>
    <w:rsid w:val="7989747E"/>
    <w:rsid w:val="7997759E"/>
    <w:rsid w:val="79A23C40"/>
    <w:rsid w:val="79C35626"/>
    <w:rsid w:val="7A05701C"/>
    <w:rsid w:val="7A130F5D"/>
    <w:rsid w:val="7A661FA0"/>
    <w:rsid w:val="7A67218F"/>
    <w:rsid w:val="7A7D1150"/>
    <w:rsid w:val="7A9D2251"/>
    <w:rsid w:val="7AB826F4"/>
    <w:rsid w:val="7AC53F07"/>
    <w:rsid w:val="7AC77EEB"/>
    <w:rsid w:val="7AF16107"/>
    <w:rsid w:val="7AF81140"/>
    <w:rsid w:val="7B077728"/>
    <w:rsid w:val="7B0833BA"/>
    <w:rsid w:val="7B175FFC"/>
    <w:rsid w:val="7B6909C6"/>
    <w:rsid w:val="7BA80740"/>
    <w:rsid w:val="7BAF1105"/>
    <w:rsid w:val="7BB22C5E"/>
    <w:rsid w:val="7BB32F79"/>
    <w:rsid w:val="7BCA718D"/>
    <w:rsid w:val="7BD77D62"/>
    <w:rsid w:val="7BEF4E76"/>
    <w:rsid w:val="7BF550C7"/>
    <w:rsid w:val="7C1E325F"/>
    <w:rsid w:val="7C205955"/>
    <w:rsid w:val="7C3522B8"/>
    <w:rsid w:val="7C3F7479"/>
    <w:rsid w:val="7C515DE6"/>
    <w:rsid w:val="7C562E0E"/>
    <w:rsid w:val="7C60619D"/>
    <w:rsid w:val="7C7F110C"/>
    <w:rsid w:val="7C9A5059"/>
    <w:rsid w:val="7CC02BFB"/>
    <w:rsid w:val="7CCA7F2E"/>
    <w:rsid w:val="7D0D13E0"/>
    <w:rsid w:val="7D5E506A"/>
    <w:rsid w:val="7D857347"/>
    <w:rsid w:val="7DD00164"/>
    <w:rsid w:val="7DEB18F7"/>
    <w:rsid w:val="7E004324"/>
    <w:rsid w:val="7E055AC0"/>
    <w:rsid w:val="7E5E3679"/>
    <w:rsid w:val="7E8B30DA"/>
    <w:rsid w:val="7E941817"/>
    <w:rsid w:val="7EF61719"/>
    <w:rsid w:val="7F480720"/>
    <w:rsid w:val="7F69032D"/>
    <w:rsid w:val="7F7D60D7"/>
    <w:rsid w:val="7FB2376C"/>
    <w:rsid w:val="7FB80376"/>
    <w:rsid w:val="7FC815F0"/>
    <w:rsid w:val="7FE01514"/>
    <w:rsid w:val="7FFC17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5"/>
    <w:link w:val="95"/>
    <w:qFormat/>
    <w:uiPriority w:val="0"/>
    <w:pPr>
      <w:keepNext/>
      <w:keepLines/>
      <w:spacing w:before="240" w:after="240" w:line="500" w:lineRule="exact"/>
      <w:ind w:firstLine="0" w:firstLineChars="0"/>
      <w:jc w:val="center"/>
      <w:outlineLvl w:val="0"/>
    </w:pPr>
    <w:rPr>
      <w:rFonts w:ascii="仿宋" w:hAnsi="仿宋" w:eastAsia="仿宋"/>
      <w:kern w:val="44"/>
      <w:sz w:val="36"/>
      <w:szCs w:val="44"/>
    </w:rPr>
  </w:style>
  <w:style w:type="paragraph" w:styleId="5">
    <w:name w:val="heading 2"/>
    <w:basedOn w:val="1"/>
    <w:next w:val="1"/>
    <w:link w:val="42"/>
    <w:qFormat/>
    <w:uiPriority w:val="0"/>
    <w:pPr>
      <w:keepNext/>
      <w:keepLines/>
      <w:spacing w:beforeLines="50"/>
      <w:ind w:firstLine="0" w:firstLineChars="0"/>
      <w:jc w:val="left"/>
      <w:outlineLvl w:val="1"/>
    </w:pPr>
    <w:rPr>
      <w:rFonts w:ascii="仿宋" w:hAnsi="仿宋" w:eastAsia="仿宋"/>
      <w:b/>
      <w:bCs/>
      <w:sz w:val="30"/>
      <w:szCs w:val="30"/>
    </w:rPr>
  </w:style>
  <w:style w:type="paragraph" w:styleId="6">
    <w:name w:val="heading 3"/>
    <w:basedOn w:val="1"/>
    <w:next w:val="1"/>
    <w:link w:val="41"/>
    <w:qFormat/>
    <w:uiPriority w:val="0"/>
    <w:pPr>
      <w:keepNext/>
      <w:keepLines/>
      <w:tabs>
        <w:tab w:val="left" w:pos="5280"/>
      </w:tabs>
      <w:spacing w:beforeLines="50" w:afterLines="50"/>
      <w:ind w:firstLine="0" w:firstLineChars="0"/>
      <w:jc w:val="left"/>
      <w:outlineLvl w:val="2"/>
    </w:pPr>
    <w:rPr>
      <w:rFonts w:ascii="仿宋" w:hAnsi="仿宋" w:eastAsia="仿宋"/>
      <w:b/>
      <w:bCs/>
      <w:sz w:val="28"/>
    </w:rPr>
  </w:style>
  <w:style w:type="paragraph" w:styleId="7">
    <w:name w:val="heading 4"/>
    <w:basedOn w:val="1"/>
    <w:next w:val="1"/>
    <w:link w:val="44"/>
    <w:qFormat/>
    <w:uiPriority w:val="0"/>
    <w:pPr>
      <w:keepNext/>
      <w:keepLines/>
      <w:spacing w:beforeLines="50" w:afterLines="50"/>
      <w:jc w:val="left"/>
      <w:outlineLvl w:val="3"/>
    </w:pPr>
    <w:rPr>
      <w:rFonts w:ascii="Cambria" w:hAnsi="Cambria" w:eastAsia="黑体"/>
      <w:b/>
      <w:bCs/>
      <w:sz w:val="28"/>
      <w:szCs w:val="28"/>
    </w:rPr>
  </w:style>
  <w:style w:type="paragraph" w:styleId="8">
    <w:name w:val="heading 5"/>
    <w:basedOn w:val="1"/>
    <w:next w:val="1"/>
    <w:link w:val="45"/>
    <w:qFormat/>
    <w:uiPriority w:val="0"/>
    <w:pPr>
      <w:keepNext/>
      <w:keepLines/>
      <w:spacing w:before="280" w:after="290" w:line="376" w:lineRule="auto"/>
      <w:ind w:firstLine="0" w:firstLineChars="0"/>
      <w:outlineLvl w:val="4"/>
    </w:pPr>
    <w:rPr>
      <w:b/>
      <w:bCs/>
      <w:sz w:val="28"/>
      <w:szCs w:val="28"/>
    </w:rPr>
  </w:style>
  <w:style w:type="paragraph" w:styleId="9">
    <w:name w:val="heading 6"/>
    <w:basedOn w:val="1"/>
    <w:next w:val="1"/>
    <w:qFormat/>
    <w:uiPriority w:val="0"/>
    <w:pPr>
      <w:keepNext/>
      <w:keepLines/>
      <w:spacing w:before="240" w:after="64" w:line="319" w:lineRule="auto"/>
      <w:outlineLvl w:val="5"/>
    </w:pPr>
    <w:rPr>
      <w:rFonts w:ascii="Arial" w:hAnsi="Arial" w:eastAsia="黑体"/>
      <w:b/>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4"/>
    <w:qFormat/>
    <w:uiPriority w:val="0"/>
    <w:pPr>
      <w:spacing w:line="240" w:lineRule="auto"/>
      <w:ind w:firstLine="0" w:firstLineChars="0"/>
      <w:jc w:val="center"/>
    </w:pPr>
    <w:rPr>
      <w:sz w:val="28"/>
      <w:szCs w:val="20"/>
    </w:rPr>
  </w:style>
  <w:style w:type="paragraph" w:styleId="3">
    <w:name w:val="Body Text First Indent"/>
    <w:basedOn w:val="2"/>
    <w:link w:val="82"/>
    <w:semiHidden/>
    <w:unhideWhenUsed/>
    <w:qFormat/>
    <w:uiPriority w:val="99"/>
    <w:pPr>
      <w:spacing w:after="120" w:line="360" w:lineRule="auto"/>
      <w:ind w:firstLine="420" w:firstLineChars="100"/>
      <w:jc w:val="both"/>
    </w:pPr>
    <w:rPr>
      <w:sz w:val="24"/>
      <w:szCs w:val="24"/>
    </w:rPr>
  </w:style>
  <w:style w:type="paragraph" w:styleId="10">
    <w:name w:val="toc 7"/>
    <w:basedOn w:val="1"/>
    <w:next w:val="1"/>
    <w:unhideWhenUsed/>
    <w:qFormat/>
    <w:uiPriority w:val="39"/>
    <w:pPr>
      <w:ind w:left="1440"/>
      <w:jc w:val="left"/>
    </w:pPr>
    <w:rPr>
      <w:rFonts w:ascii="Calibri" w:hAnsi="Calibri"/>
      <w:sz w:val="18"/>
      <w:szCs w:val="18"/>
    </w:rPr>
  </w:style>
  <w:style w:type="paragraph" w:styleId="11">
    <w:name w:val="Normal Indent"/>
    <w:basedOn w:val="1"/>
    <w:qFormat/>
    <w:uiPriority w:val="99"/>
    <w:pPr>
      <w:spacing w:line="240" w:lineRule="auto"/>
      <w:ind w:firstLine="420"/>
    </w:pPr>
    <w:rPr>
      <w:sz w:val="21"/>
    </w:rPr>
  </w:style>
  <w:style w:type="paragraph" w:styleId="12">
    <w:name w:val="Document Map"/>
    <w:basedOn w:val="1"/>
    <w:link w:val="47"/>
    <w:semiHidden/>
    <w:unhideWhenUsed/>
    <w:qFormat/>
    <w:uiPriority w:val="0"/>
    <w:rPr>
      <w:rFonts w:ascii="宋体"/>
      <w:sz w:val="18"/>
      <w:szCs w:val="18"/>
    </w:rPr>
  </w:style>
  <w:style w:type="paragraph" w:styleId="13">
    <w:name w:val="Body Text Indent"/>
    <w:basedOn w:val="1"/>
    <w:link w:val="59"/>
    <w:qFormat/>
    <w:uiPriority w:val="0"/>
    <w:pPr>
      <w:spacing w:after="120" w:line="240" w:lineRule="auto"/>
      <w:ind w:left="420" w:leftChars="200" w:firstLine="0" w:firstLineChars="0"/>
    </w:pPr>
    <w:rPr>
      <w:sz w:val="21"/>
    </w:rPr>
  </w:style>
  <w:style w:type="paragraph" w:styleId="14">
    <w:name w:val="List 2"/>
    <w:basedOn w:val="1"/>
    <w:qFormat/>
    <w:uiPriority w:val="0"/>
    <w:pPr>
      <w:spacing w:line="240" w:lineRule="auto"/>
      <w:ind w:left="100" w:leftChars="200" w:hanging="200" w:hangingChars="200"/>
    </w:pPr>
    <w:rPr>
      <w:sz w:val="21"/>
      <w:szCs w:val="20"/>
    </w:rPr>
  </w:style>
  <w:style w:type="paragraph" w:styleId="15">
    <w:name w:val="toc 5"/>
    <w:basedOn w:val="1"/>
    <w:next w:val="1"/>
    <w:unhideWhenUsed/>
    <w:qFormat/>
    <w:uiPriority w:val="39"/>
    <w:pPr>
      <w:ind w:left="960"/>
      <w:jc w:val="left"/>
    </w:pPr>
    <w:rPr>
      <w:rFonts w:ascii="Calibri" w:hAnsi="Calibri"/>
      <w:sz w:val="18"/>
      <w:szCs w:val="18"/>
    </w:rPr>
  </w:style>
  <w:style w:type="paragraph" w:styleId="16">
    <w:name w:val="toc 3"/>
    <w:basedOn w:val="1"/>
    <w:next w:val="1"/>
    <w:unhideWhenUsed/>
    <w:qFormat/>
    <w:uiPriority w:val="39"/>
    <w:pPr>
      <w:spacing w:line="500" w:lineRule="exact"/>
      <w:ind w:firstLine="0" w:firstLineChars="0"/>
    </w:pPr>
    <w:rPr>
      <w:rFonts w:ascii="宋体" w:hAnsi="Calibri"/>
      <w:iCs/>
    </w:rPr>
  </w:style>
  <w:style w:type="paragraph" w:styleId="17">
    <w:name w:val="Plain Text"/>
    <w:basedOn w:val="1"/>
    <w:qFormat/>
    <w:uiPriority w:val="0"/>
    <w:rPr>
      <w:rFonts w:ascii="宋体" w:hAnsi="Courier New"/>
    </w:rPr>
  </w:style>
  <w:style w:type="paragraph" w:styleId="18">
    <w:name w:val="toc 8"/>
    <w:basedOn w:val="1"/>
    <w:next w:val="1"/>
    <w:unhideWhenUsed/>
    <w:qFormat/>
    <w:uiPriority w:val="39"/>
    <w:pPr>
      <w:ind w:left="1680"/>
      <w:jc w:val="left"/>
    </w:pPr>
    <w:rPr>
      <w:rFonts w:ascii="Calibri" w:hAnsi="Calibri"/>
      <w:sz w:val="18"/>
      <w:szCs w:val="18"/>
    </w:rPr>
  </w:style>
  <w:style w:type="paragraph" w:styleId="19">
    <w:name w:val="Date"/>
    <w:basedOn w:val="1"/>
    <w:next w:val="1"/>
    <w:link w:val="54"/>
    <w:qFormat/>
    <w:uiPriority w:val="0"/>
    <w:pPr>
      <w:spacing w:line="240" w:lineRule="auto"/>
      <w:ind w:left="100" w:leftChars="2500" w:firstLine="0" w:firstLineChars="0"/>
    </w:pPr>
    <w:rPr>
      <w:sz w:val="21"/>
    </w:rPr>
  </w:style>
  <w:style w:type="paragraph" w:styleId="20">
    <w:name w:val="Body Text Indent 2"/>
    <w:basedOn w:val="1"/>
    <w:link w:val="53"/>
    <w:qFormat/>
    <w:uiPriority w:val="0"/>
    <w:pPr>
      <w:spacing w:after="120" w:line="480" w:lineRule="auto"/>
      <w:ind w:left="420" w:leftChars="200" w:firstLine="0" w:firstLineChars="0"/>
    </w:pPr>
    <w:rPr>
      <w:sz w:val="21"/>
    </w:rPr>
  </w:style>
  <w:style w:type="paragraph" w:styleId="21">
    <w:name w:val="Balloon Text"/>
    <w:basedOn w:val="1"/>
    <w:link w:val="83"/>
    <w:semiHidden/>
    <w:unhideWhenUsed/>
    <w:qFormat/>
    <w:uiPriority w:val="99"/>
    <w:pPr>
      <w:spacing w:line="240" w:lineRule="auto"/>
    </w:pPr>
    <w:rPr>
      <w:sz w:val="18"/>
      <w:szCs w:val="18"/>
    </w:rPr>
  </w:style>
  <w:style w:type="paragraph" w:styleId="22">
    <w:name w:val="footer"/>
    <w:basedOn w:val="1"/>
    <w:link w:val="50"/>
    <w:unhideWhenUsed/>
    <w:qFormat/>
    <w:uiPriority w:val="99"/>
    <w:pPr>
      <w:tabs>
        <w:tab w:val="center" w:pos="4153"/>
        <w:tab w:val="right" w:pos="8306"/>
      </w:tabs>
      <w:snapToGrid w:val="0"/>
      <w:jc w:val="left"/>
    </w:pPr>
    <w:rPr>
      <w:sz w:val="18"/>
      <w:szCs w:val="18"/>
    </w:rPr>
  </w:style>
  <w:style w:type="paragraph" w:styleId="23">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tabs>
        <w:tab w:val="right" w:leader="dot" w:pos="9061"/>
      </w:tabs>
      <w:ind w:firstLine="0" w:firstLineChars="0"/>
    </w:pPr>
    <w:rPr>
      <w:rFonts w:ascii="宋体" w:hAnsi="Calibri"/>
      <w:bCs/>
      <w:caps/>
      <w:sz w:val="28"/>
      <w:szCs w:val="28"/>
    </w:rPr>
  </w:style>
  <w:style w:type="paragraph" w:styleId="25">
    <w:name w:val="toc 4"/>
    <w:basedOn w:val="1"/>
    <w:next w:val="1"/>
    <w:qFormat/>
    <w:uiPriority w:val="39"/>
    <w:pPr>
      <w:ind w:left="720"/>
      <w:jc w:val="left"/>
    </w:pPr>
    <w:rPr>
      <w:rFonts w:ascii="宋体" w:hAnsi="Calibri"/>
      <w:sz w:val="18"/>
      <w:szCs w:val="18"/>
    </w:rPr>
  </w:style>
  <w:style w:type="paragraph" w:styleId="26">
    <w:name w:val="toc 6"/>
    <w:basedOn w:val="1"/>
    <w:next w:val="1"/>
    <w:unhideWhenUsed/>
    <w:qFormat/>
    <w:uiPriority w:val="39"/>
    <w:pPr>
      <w:ind w:left="1200"/>
      <w:jc w:val="left"/>
    </w:pPr>
    <w:rPr>
      <w:rFonts w:ascii="Calibri" w:hAnsi="Calibri"/>
      <w:sz w:val="18"/>
      <w:szCs w:val="18"/>
    </w:rPr>
  </w:style>
  <w:style w:type="paragraph" w:styleId="27">
    <w:name w:val="Body Text Indent 3"/>
    <w:basedOn w:val="1"/>
    <w:link w:val="58"/>
    <w:qFormat/>
    <w:uiPriority w:val="0"/>
    <w:pPr>
      <w:widowControl/>
      <w:adjustRightInd w:val="0"/>
      <w:snapToGrid w:val="0"/>
      <w:spacing w:line="420" w:lineRule="atLeast"/>
      <w:ind w:firstLine="480" w:firstLineChars="0"/>
    </w:pPr>
    <w:rPr>
      <w:rFonts w:ascii="宋体"/>
      <w:position w:val="-6"/>
    </w:rPr>
  </w:style>
  <w:style w:type="paragraph" w:styleId="28">
    <w:name w:val="toc 2"/>
    <w:basedOn w:val="1"/>
    <w:next w:val="1"/>
    <w:unhideWhenUsed/>
    <w:qFormat/>
    <w:uiPriority w:val="39"/>
    <w:pPr>
      <w:spacing w:line="500" w:lineRule="exact"/>
      <w:ind w:firstLine="0" w:firstLineChars="0"/>
    </w:pPr>
    <w:rPr>
      <w:rFonts w:ascii="宋体" w:hAnsi="Calibri"/>
      <w:smallCaps/>
      <w:sz w:val="28"/>
      <w:szCs w:val="28"/>
    </w:rPr>
  </w:style>
  <w:style w:type="paragraph" w:styleId="29">
    <w:name w:val="toc 9"/>
    <w:basedOn w:val="1"/>
    <w:next w:val="1"/>
    <w:unhideWhenUsed/>
    <w:qFormat/>
    <w:uiPriority w:val="39"/>
    <w:pPr>
      <w:ind w:left="1920"/>
      <w:jc w:val="left"/>
    </w:pPr>
    <w:rPr>
      <w:rFonts w:ascii="Calibri" w:hAnsi="Calibri"/>
      <w:sz w:val="18"/>
      <w:szCs w:val="18"/>
    </w:rPr>
  </w:style>
  <w:style w:type="paragraph" w:styleId="30">
    <w:name w:val="Normal (Web)"/>
    <w:basedOn w:val="1"/>
    <w:qFormat/>
    <w:uiPriority w:val="99"/>
    <w:pPr>
      <w:widowControl/>
      <w:spacing w:line="240" w:lineRule="auto"/>
      <w:ind w:firstLine="0" w:firstLineChars="0"/>
      <w:jc w:val="left"/>
    </w:pPr>
    <w:rPr>
      <w:rFonts w:ascii="宋体" w:hAnsi="宋体" w:cs="宋体"/>
      <w:kern w:val="0"/>
    </w:rPr>
  </w:style>
  <w:style w:type="paragraph" w:styleId="31">
    <w:name w:val="index 1"/>
    <w:basedOn w:val="1"/>
    <w:next w:val="1"/>
    <w:semiHidden/>
    <w:qFormat/>
    <w:uiPriority w:val="0"/>
    <w:pPr>
      <w:ind w:firstLine="0" w:firstLineChars="0"/>
    </w:pPr>
    <w:rPr>
      <w:szCs w:val="20"/>
    </w:rPr>
  </w:style>
  <w:style w:type="paragraph" w:styleId="32">
    <w:name w:val="Title"/>
    <w:basedOn w:val="1"/>
    <w:next w:val="1"/>
    <w:link w:val="46"/>
    <w:qFormat/>
    <w:uiPriority w:val="10"/>
    <w:pPr>
      <w:spacing w:before="240" w:after="60"/>
      <w:jc w:val="center"/>
      <w:outlineLvl w:val="0"/>
    </w:pPr>
    <w:rPr>
      <w:rFonts w:ascii="Cambria" w:hAnsi="Cambria"/>
      <w:b/>
      <w:bCs/>
      <w:sz w:val="32"/>
      <w:szCs w:val="32"/>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22"/>
    <w:rPr>
      <w:b/>
      <w:bCs/>
    </w:rPr>
  </w:style>
  <w:style w:type="character" w:styleId="37">
    <w:name w:val="page number"/>
    <w:basedOn w:val="35"/>
    <w:qFormat/>
    <w:uiPriority w:val="99"/>
  </w:style>
  <w:style w:type="character" w:styleId="38">
    <w:name w:val="FollowedHyperlink"/>
    <w:basedOn w:val="35"/>
    <w:qFormat/>
    <w:uiPriority w:val="99"/>
    <w:rPr>
      <w:color w:val="800080"/>
      <w:u w:val="single"/>
    </w:rPr>
  </w:style>
  <w:style w:type="character" w:styleId="39">
    <w:name w:val="Hyperlink"/>
    <w:basedOn w:val="35"/>
    <w:qFormat/>
    <w:uiPriority w:val="99"/>
    <w:rPr>
      <w:color w:val="0268CD"/>
      <w:u w:val="none"/>
    </w:rPr>
  </w:style>
  <w:style w:type="paragraph" w:customStyle="1" w:styleId="40">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character" w:customStyle="1" w:styleId="41">
    <w:name w:val="标题 3 Char"/>
    <w:basedOn w:val="35"/>
    <w:link w:val="6"/>
    <w:qFormat/>
    <w:uiPriority w:val="0"/>
    <w:rPr>
      <w:rFonts w:ascii="仿宋" w:hAnsi="仿宋" w:eastAsia="仿宋"/>
      <w:b/>
      <w:bCs/>
      <w:kern w:val="2"/>
      <w:sz w:val="28"/>
      <w:szCs w:val="24"/>
    </w:rPr>
  </w:style>
  <w:style w:type="character" w:customStyle="1" w:styleId="42">
    <w:name w:val="标题 2 Char"/>
    <w:basedOn w:val="35"/>
    <w:link w:val="5"/>
    <w:qFormat/>
    <w:uiPriority w:val="0"/>
    <w:rPr>
      <w:rFonts w:ascii="仿宋" w:hAnsi="仿宋" w:eastAsia="仿宋"/>
      <w:b/>
      <w:bCs/>
      <w:kern w:val="2"/>
      <w:sz w:val="30"/>
      <w:szCs w:val="30"/>
    </w:rPr>
  </w:style>
  <w:style w:type="character" w:customStyle="1" w:styleId="43">
    <w:name w:val="标题 1 Char"/>
    <w:basedOn w:val="35"/>
    <w:qFormat/>
    <w:uiPriority w:val="0"/>
    <w:rPr>
      <w:rFonts w:ascii="仿宋" w:hAnsi="仿宋" w:eastAsia="仿宋"/>
      <w:b/>
      <w:bCs/>
      <w:kern w:val="44"/>
      <w:sz w:val="36"/>
      <w:szCs w:val="44"/>
    </w:rPr>
  </w:style>
  <w:style w:type="character" w:customStyle="1" w:styleId="44">
    <w:name w:val="标题 4 Char"/>
    <w:basedOn w:val="35"/>
    <w:link w:val="7"/>
    <w:qFormat/>
    <w:uiPriority w:val="0"/>
    <w:rPr>
      <w:rFonts w:ascii="Cambria" w:hAnsi="Cambria" w:eastAsia="黑体"/>
      <w:b/>
      <w:bCs/>
      <w:kern w:val="2"/>
      <w:sz w:val="28"/>
      <w:szCs w:val="28"/>
    </w:rPr>
  </w:style>
  <w:style w:type="character" w:customStyle="1" w:styleId="45">
    <w:name w:val="标题 5 Char"/>
    <w:basedOn w:val="35"/>
    <w:link w:val="8"/>
    <w:qFormat/>
    <w:uiPriority w:val="0"/>
    <w:rPr>
      <w:rFonts w:ascii="Times New Roman" w:hAnsi="Times New Roman"/>
      <w:b/>
      <w:bCs/>
      <w:kern w:val="2"/>
      <w:sz w:val="28"/>
      <w:szCs w:val="28"/>
    </w:rPr>
  </w:style>
  <w:style w:type="character" w:customStyle="1" w:styleId="46">
    <w:name w:val="标题 Char"/>
    <w:basedOn w:val="35"/>
    <w:link w:val="32"/>
    <w:qFormat/>
    <w:uiPriority w:val="10"/>
    <w:rPr>
      <w:rFonts w:ascii="Cambria" w:hAnsi="Cambria" w:eastAsia="宋体" w:cs="Times New Roman"/>
      <w:b/>
      <w:bCs/>
      <w:sz w:val="32"/>
      <w:szCs w:val="32"/>
    </w:rPr>
  </w:style>
  <w:style w:type="character" w:customStyle="1" w:styleId="47">
    <w:name w:val="文档结构图 Char"/>
    <w:basedOn w:val="35"/>
    <w:link w:val="12"/>
    <w:semiHidden/>
    <w:qFormat/>
    <w:uiPriority w:val="99"/>
    <w:rPr>
      <w:rFonts w:ascii="宋体" w:hAnsi="Times New Roman" w:eastAsia="宋体" w:cs="Times New Roman"/>
      <w:sz w:val="18"/>
      <w:szCs w:val="18"/>
    </w:rPr>
  </w:style>
  <w:style w:type="paragraph" w:styleId="48">
    <w:name w:val="List Paragraph"/>
    <w:basedOn w:val="1"/>
    <w:qFormat/>
    <w:uiPriority w:val="34"/>
    <w:pPr>
      <w:ind w:firstLine="420"/>
    </w:pPr>
  </w:style>
  <w:style w:type="character" w:customStyle="1" w:styleId="49">
    <w:name w:val="页眉 Char"/>
    <w:basedOn w:val="35"/>
    <w:link w:val="23"/>
    <w:qFormat/>
    <w:uiPriority w:val="99"/>
    <w:rPr>
      <w:rFonts w:ascii="Times New Roman" w:hAnsi="Times New Roman" w:eastAsia="宋体" w:cs="Times New Roman"/>
      <w:sz w:val="18"/>
      <w:szCs w:val="18"/>
    </w:rPr>
  </w:style>
  <w:style w:type="character" w:customStyle="1" w:styleId="50">
    <w:name w:val="页脚 Char"/>
    <w:basedOn w:val="35"/>
    <w:link w:val="22"/>
    <w:qFormat/>
    <w:uiPriority w:val="99"/>
    <w:rPr>
      <w:rFonts w:ascii="Times New Roman" w:hAnsi="Times New Roman" w:eastAsia="宋体" w:cs="Times New Roman"/>
      <w:sz w:val="18"/>
      <w:szCs w:val="18"/>
    </w:rPr>
  </w:style>
  <w:style w:type="paragraph" w:customStyle="1" w:styleId="51">
    <w:name w:val="font11"/>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2">
    <w:name w:val="默认段落字体 Para Char"/>
    <w:basedOn w:val="1"/>
    <w:next w:val="1"/>
    <w:qFormat/>
    <w:uiPriority w:val="0"/>
    <w:rPr>
      <w:rFonts w:ascii="宋体" w:hAnsi="宋体" w:cs="宋体"/>
    </w:rPr>
  </w:style>
  <w:style w:type="character" w:customStyle="1" w:styleId="53">
    <w:name w:val="正文文本缩进 2 Char"/>
    <w:basedOn w:val="35"/>
    <w:link w:val="20"/>
    <w:qFormat/>
    <w:uiPriority w:val="0"/>
    <w:rPr>
      <w:rFonts w:ascii="Times New Roman" w:hAnsi="Times New Roman"/>
      <w:kern w:val="2"/>
      <w:sz w:val="21"/>
      <w:szCs w:val="24"/>
    </w:rPr>
  </w:style>
  <w:style w:type="character" w:customStyle="1" w:styleId="54">
    <w:name w:val="日期 Char"/>
    <w:basedOn w:val="35"/>
    <w:link w:val="19"/>
    <w:qFormat/>
    <w:uiPriority w:val="0"/>
    <w:rPr>
      <w:rFonts w:ascii="Times New Roman" w:hAnsi="Times New Roman"/>
      <w:kern w:val="2"/>
      <w:sz w:val="21"/>
      <w:szCs w:val="24"/>
    </w:rPr>
  </w:style>
  <w:style w:type="paragraph" w:customStyle="1" w:styleId="55">
    <w:name w:val="xl37"/>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56">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5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character" w:customStyle="1" w:styleId="58">
    <w:name w:val="正文文本缩进 3 Char"/>
    <w:basedOn w:val="35"/>
    <w:link w:val="27"/>
    <w:qFormat/>
    <w:uiPriority w:val="0"/>
    <w:rPr>
      <w:rFonts w:ascii="宋体" w:hAnsi="Times New Roman"/>
      <w:kern w:val="2"/>
      <w:position w:val="-6"/>
      <w:sz w:val="24"/>
      <w:szCs w:val="24"/>
    </w:rPr>
  </w:style>
  <w:style w:type="character" w:customStyle="1" w:styleId="59">
    <w:name w:val="正文文本缩进 Char"/>
    <w:basedOn w:val="35"/>
    <w:link w:val="13"/>
    <w:qFormat/>
    <w:uiPriority w:val="0"/>
    <w:rPr>
      <w:rFonts w:ascii="Times New Roman" w:hAnsi="Times New Roman"/>
      <w:kern w:val="2"/>
      <w:sz w:val="21"/>
      <w:szCs w:val="24"/>
    </w:rPr>
  </w:style>
  <w:style w:type="paragraph" w:customStyle="1" w:styleId="60">
    <w:name w:val="批注框文本1"/>
    <w:basedOn w:val="1"/>
    <w:qFormat/>
    <w:uiPriority w:val="0"/>
    <w:pPr>
      <w:ind w:firstLine="0" w:firstLineChars="0"/>
    </w:pPr>
    <w:rPr>
      <w:sz w:val="18"/>
      <w:szCs w:val="20"/>
    </w:rPr>
  </w:style>
  <w:style w:type="paragraph" w:customStyle="1" w:styleId="61">
    <w:name w:val="图名"/>
    <w:qFormat/>
    <w:uiPriority w:val="0"/>
    <w:pPr>
      <w:snapToGrid w:val="0"/>
      <w:spacing w:line="240" w:lineRule="atLeast"/>
      <w:jc w:val="center"/>
    </w:pPr>
    <w:rPr>
      <w:rFonts w:ascii="宋体" w:hAnsi="宋体" w:eastAsia="宋体" w:cs="Times New Roman"/>
      <w:b/>
      <w:kern w:val="2"/>
      <w:sz w:val="24"/>
      <w:lang w:val="en-US" w:eastAsia="zh-CN" w:bidi="ar-SA"/>
    </w:rPr>
  </w:style>
  <w:style w:type="paragraph" w:customStyle="1" w:styleId="62">
    <w:name w:val="标题4"/>
    <w:basedOn w:val="5"/>
    <w:link w:val="63"/>
    <w:qFormat/>
    <w:uiPriority w:val="0"/>
    <w:pPr>
      <w:spacing w:beforeLines="0" w:after="160"/>
    </w:pPr>
    <w:rPr>
      <w:rFonts w:ascii="宋体" w:hAnsi="宋体" w:eastAsia="宋体"/>
    </w:rPr>
  </w:style>
  <w:style w:type="character" w:customStyle="1" w:styleId="63">
    <w:name w:val="标题4 Char"/>
    <w:basedOn w:val="35"/>
    <w:link w:val="62"/>
    <w:qFormat/>
    <w:uiPriority w:val="0"/>
    <w:rPr>
      <w:rFonts w:ascii="宋体" w:hAnsi="宋体"/>
      <w:b/>
      <w:bCs/>
      <w:kern w:val="2"/>
      <w:sz w:val="30"/>
      <w:szCs w:val="30"/>
    </w:rPr>
  </w:style>
  <w:style w:type="character" w:customStyle="1" w:styleId="64">
    <w:name w:val="正文文本 Char"/>
    <w:basedOn w:val="35"/>
    <w:link w:val="2"/>
    <w:qFormat/>
    <w:uiPriority w:val="0"/>
    <w:rPr>
      <w:rFonts w:ascii="Times New Roman" w:hAnsi="Times New Roman"/>
      <w:kern w:val="2"/>
      <w:sz w:val="28"/>
    </w:rPr>
  </w:style>
  <w:style w:type="paragraph" w:customStyle="1" w:styleId="65">
    <w:name w:val="表特居中"/>
    <w:qFormat/>
    <w:uiPriority w:val="0"/>
    <w:pPr>
      <w:spacing w:line="160" w:lineRule="exact"/>
      <w:jc w:val="center"/>
      <w:textAlignment w:val="center"/>
    </w:pPr>
    <w:rPr>
      <w:rFonts w:ascii="宋体" w:hAnsi="宋体" w:eastAsia="宋体" w:cs="Times New Roman"/>
      <w:kern w:val="2"/>
      <w:sz w:val="15"/>
      <w:szCs w:val="24"/>
      <w:lang w:val="en-US" w:eastAsia="zh-CN" w:bidi="ar-SA"/>
    </w:rPr>
  </w:style>
  <w:style w:type="paragraph" w:customStyle="1" w:styleId="66">
    <w:name w:val="表内"/>
    <w:basedOn w:val="1"/>
    <w:qFormat/>
    <w:uiPriority w:val="0"/>
    <w:pPr>
      <w:autoSpaceDE w:val="0"/>
      <w:autoSpaceDN w:val="0"/>
      <w:adjustRightInd w:val="0"/>
      <w:spacing w:line="320" w:lineRule="atLeast"/>
      <w:ind w:firstLine="0" w:firstLineChars="0"/>
      <w:textAlignment w:val="baseline"/>
    </w:pPr>
    <w:rPr>
      <w:rFonts w:ascii="宋体" w:hAnsi="宋体"/>
      <w:kern w:val="0"/>
      <w:szCs w:val="20"/>
    </w:rPr>
  </w:style>
  <w:style w:type="paragraph" w:customStyle="1" w:styleId="67">
    <w:name w:val="xl24"/>
    <w:basedOn w:val="1"/>
    <w:qFormat/>
    <w:uiPriority w:val="0"/>
    <w:pPr>
      <w:widowControl/>
      <w:spacing w:before="100" w:beforeAutospacing="1" w:after="100" w:afterAutospacing="1" w:line="240" w:lineRule="auto"/>
      <w:ind w:firstLine="0" w:firstLineChars="0"/>
      <w:jc w:val="center"/>
    </w:pPr>
    <w:rPr>
      <w:rFonts w:ascii="宋体" w:hAnsi="宋体"/>
      <w:kern w:val="0"/>
    </w:rPr>
  </w:style>
  <w:style w:type="paragraph" w:customStyle="1" w:styleId="68">
    <w:name w:val="高岭土矿 一 标题"/>
    <w:basedOn w:val="1"/>
    <w:qFormat/>
    <w:uiPriority w:val="0"/>
    <w:pPr>
      <w:adjustRightInd w:val="0"/>
      <w:snapToGrid w:val="0"/>
      <w:spacing w:beforeLines="50"/>
      <w:ind w:firstLine="550"/>
    </w:pPr>
    <w:rPr>
      <w:b/>
      <w:bCs/>
      <w:sz w:val="28"/>
      <w:szCs w:val="20"/>
    </w:rPr>
  </w:style>
  <w:style w:type="paragraph" w:customStyle="1" w:styleId="69">
    <w:name w:val="1．标题"/>
    <w:basedOn w:val="1"/>
    <w:next w:val="11"/>
    <w:qFormat/>
    <w:uiPriority w:val="0"/>
    <w:pPr>
      <w:adjustRightInd w:val="0"/>
      <w:snapToGrid w:val="0"/>
      <w:spacing w:line="336" w:lineRule="auto"/>
      <w:ind w:firstLine="545"/>
    </w:pPr>
    <w:rPr>
      <w:rFonts w:eastAsia="黑体"/>
      <w:b/>
      <w:bCs/>
      <w:snapToGrid w:val="0"/>
      <w:spacing w:val="6"/>
      <w:kern w:val="0"/>
      <w:sz w:val="26"/>
      <w:szCs w:val="20"/>
    </w:rPr>
  </w:style>
  <w:style w:type="paragraph" w:customStyle="1" w:styleId="70">
    <w:name w:val="font6"/>
    <w:basedOn w:val="1"/>
    <w:qFormat/>
    <w:uiPriority w:val="0"/>
    <w:pPr>
      <w:widowControl/>
      <w:spacing w:before="100" w:beforeAutospacing="1" w:after="100" w:afterAutospacing="1" w:line="240" w:lineRule="auto"/>
      <w:ind w:firstLine="0" w:firstLineChars="0"/>
      <w:jc w:val="left"/>
    </w:pPr>
    <w:rPr>
      <w:rFonts w:hint="eastAsia" w:ascii="宋体" w:hAnsi="宋体"/>
      <w:b/>
      <w:bCs/>
      <w:color w:val="000000"/>
      <w:kern w:val="0"/>
      <w:sz w:val="18"/>
      <w:szCs w:val="18"/>
    </w:rPr>
  </w:style>
  <w:style w:type="paragraph" w:customStyle="1" w:styleId="71">
    <w:name w:val="font7"/>
    <w:basedOn w:val="1"/>
    <w:qFormat/>
    <w:uiPriority w:val="0"/>
    <w:pPr>
      <w:widowControl/>
      <w:spacing w:before="100" w:beforeAutospacing="1" w:after="100" w:afterAutospacing="1" w:line="240" w:lineRule="auto"/>
      <w:ind w:firstLine="0" w:firstLineChars="0"/>
      <w:jc w:val="left"/>
    </w:pPr>
    <w:rPr>
      <w:b/>
      <w:bCs/>
      <w:color w:val="000000"/>
      <w:kern w:val="0"/>
      <w:sz w:val="18"/>
      <w:szCs w:val="18"/>
    </w:rPr>
  </w:style>
  <w:style w:type="paragraph" w:customStyle="1" w:styleId="72">
    <w:name w:val="font8"/>
    <w:basedOn w:val="1"/>
    <w:qFormat/>
    <w:uiPriority w:val="0"/>
    <w:pPr>
      <w:widowControl/>
      <w:spacing w:before="100" w:beforeAutospacing="1" w:after="100" w:afterAutospacing="1" w:line="240" w:lineRule="auto"/>
      <w:ind w:firstLine="0" w:firstLineChars="0"/>
      <w:jc w:val="left"/>
    </w:pPr>
    <w:rPr>
      <w:b/>
      <w:bCs/>
      <w:color w:val="000000"/>
      <w:kern w:val="0"/>
      <w:sz w:val="18"/>
      <w:szCs w:val="18"/>
    </w:rPr>
  </w:style>
  <w:style w:type="paragraph" w:customStyle="1" w:styleId="73">
    <w:name w:val="font9"/>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74">
    <w:name w:val="font10"/>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7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b/>
      <w:bCs/>
      <w:kern w:val="0"/>
      <w:sz w:val="18"/>
      <w:szCs w:val="18"/>
    </w:rPr>
  </w:style>
  <w:style w:type="paragraph" w:customStyle="1" w:styleId="76">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ascii="宋体" w:hAnsi="宋体"/>
      <w:snapToGrid w:val="0"/>
      <w:sz w:val="18"/>
      <w:szCs w:val="18"/>
    </w:rPr>
  </w:style>
  <w:style w:type="paragraph" w:customStyle="1" w:styleId="77">
    <w:name w:val="xl28"/>
    <w:basedOn w:val="1"/>
    <w:qFormat/>
    <w:uiPriority w:val="0"/>
    <w:pPr>
      <w:widowControl/>
      <w:pBdr>
        <w:top w:val="single" w:color="auto" w:sz="4" w:space="0"/>
        <w:left w:val="single" w:color="auto" w:sz="4" w:space="0"/>
        <w:bottom w:val="single" w:color="auto" w:sz="4" w:space="0"/>
        <w:right w:val="single" w:color="auto" w:sz="4" w:space="0"/>
      </w:pBdr>
      <w:spacing w:before="100" w:after="100" w:afterAutospacing="1" w:line="240" w:lineRule="auto"/>
      <w:ind w:firstLine="0" w:firstLineChars="0"/>
      <w:jc w:val="center"/>
      <w:textAlignment w:val="center"/>
    </w:pPr>
    <w:rPr>
      <w:rFonts w:ascii="宋体" w:hAnsi="宋体"/>
      <w:kern w:val="0"/>
      <w:sz w:val="18"/>
      <w:szCs w:val="18"/>
    </w:rPr>
  </w:style>
  <w:style w:type="paragraph" w:customStyle="1" w:styleId="7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kern w:val="0"/>
    </w:rPr>
  </w:style>
  <w:style w:type="paragraph" w:customStyle="1" w:styleId="79">
    <w:name w:val="前言"/>
    <w:basedOn w:val="4"/>
    <w:next w:val="13"/>
    <w:qFormat/>
    <w:uiPriority w:val="0"/>
    <w:pPr>
      <w:spacing w:before="120" w:after="360" w:line="360" w:lineRule="auto"/>
    </w:pPr>
    <w:rPr>
      <w:rFonts w:eastAsia="宋体"/>
      <w:sz w:val="40"/>
      <w:szCs w:val="20"/>
    </w:rPr>
  </w:style>
  <w:style w:type="paragraph" w:customStyle="1" w:styleId="80">
    <w:name w:val="（一）标题"/>
    <w:basedOn w:val="1"/>
    <w:next w:val="11"/>
    <w:qFormat/>
    <w:uiPriority w:val="0"/>
    <w:pPr>
      <w:tabs>
        <w:tab w:val="left" w:pos="720"/>
      </w:tabs>
      <w:adjustRightInd w:val="0"/>
      <w:snapToGrid w:val="0"/>
      <w:spacing w:line="336" w:lineRule="auto"/>
      <w:ind w:firstLine="365" w:firstLineChars="134"/>
    </w:pPr>
    <w:rPr>
      <w:rFonts w:eastAsia="黑体"/>
      <w:b/>
      <w:bCs/>
      <w:snapToGrid w:val="0"/>
      <w:spacing w:val="6"/>
      <w:kern w:val="0"/>
      <w:sz w:val="26"/>
      <w:szCs w:val="20"/>
    </w:rPr>
  </w:style>
  <w:style w:type="paragraph" w:customStyle="1" w:styleId="81">
    <w:name w:val="正文首行缩进（西藏格式）"/>
    <w:basedOn w:val="3"/>
    <w:qFormat/>
    <w:uiPriority w:val="0"/>
    <w:pPr>
      <w:adjustRightInd w:val="0"/>
      <w:snapToGrid w:val="0"/>
      <w:spacing w:after="0" w:line="400" w:lineRule="exact"/>
      <w:ind w:firstLine="482" w:firstLineChars="0"/>
    </w:pPr>
    <w:rPr>
      <w:snapToGrid w:val="0"/>
    </w:rPr>
  </w:style>
  <w:style w:type="character" w:customStyle="1" w:styleId="82">
    <w:name w:val="正文首行缩进 Char"/>
    <w:basedOn w:val="64"/>
    <w:link w:val="3"/>
    <w:semiHidden/>
    <w:qFormat/>
    <w:uiPriority w:val="99"/>
    <w:rPr>
      <w:rFonts w:ascii="Times New Roman" w:hAnsi="Times New Roman"/>
      <w:kern w:val="2"/>
      <w:sz w:val="24"/>
      <w:szCs w:val="24"/>
    </w:rPr>
  </w:style>
  <w:style w:type="character" w:customStyle="1" w:styleId="83">
    <w:name w:val="批注框文本 Char"/>
    <w:basedOn w:val="35"/>
    <w:link w:val="21"/>
    <w:semiHidden/>
    <w:qFormat/>
    <w:uiPriority w:val="99"/>
    <w:rPr>
      <w:rFonts w:ascii="Times New Roman" w:hAnsi="Times New Roman"/>
      <w:kern w:val="2"/>
      <w:sz w:val="18"/>
      <w:szCs w:val="18"/>
    </w:rPr>
  </w:style>
  <w:style w:type="character" w:customStyle="1" w:styleId="84">
    <w:name w:val="apple-converted-space"/>
    <w:basedOn w:val="35"/>
    <w:qFormat/>
    <w:uiPriority w:val="0"/>
  </w:style>
  <w:style w:type="paragraph" w:customStyle="1" w:styleId="85">
    <w:name w:val="style4"/>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color w:val="444466"/>
      <w:kern w:val="0"/>
    </w:rPr>
  </w:style>
  <w:style w:type="character" w:customStyle="1" w:styleId="86">
    <w:name w:val="style31"/>
    <w:basedOn w:val="35"/>
    <w:qFormat/>
    <w:uiPriority w:val="0"/>
    <w:rPr>
      <w:color w:val="444466"/>
    </w:rPr>
  </w:style>
  <w:style w:type="paragraph" w:customStyle="1" w:styleId="87">
    <w:name w:val="album-div1"/>
    <w:basedOn w:val="1"/>
    <w:qFormat/>
    <w:uiPriority w:val="0"/>
    <w:pPr>
      <w:widowControl/>
      <w:shd w:val="clear" w:color="auto" w:fill="FFFFFF"/>
      <w:spacing w:before="100" w:beforeAutospacing="1" w:after="100" w:afterAutospacing="1" w:line="240" w:lineRule="auto"/>
      <w:ind w:firstLine="0" w:firstLineChars="0"/>
      <w:jc w:val="left"/>
    </w:pPr>
    <w:rPr>
      <w:rFonts w:ascii="宋体" w:hAnsi="宋体" w:cs="宋体"/>
      <w:kern w:val="0"/>
    </w:rPr>
  </w:style>
  <w:style w:type="character" w:customStyle="1" w:styleId="88">
    <w:name w:val="title12"/>
    <w:basedOn w:val="35"/>
    <w:qFormat/>
    <w:uiPriority w:val="0"/>
  </w:style>
  <w:style w:type="character" w:customStyle="1" w:styleId="89">
    <w:name w:val="count4"/>
    <w:basedOn w:val="35"/>
    <w:qFormat/>
    <w:uiPriority w:val="0"/>
  </w:style>
  <w:style w:type="paragraph" w:customStyle="1" w:styleId="90">
    <w:name w:val="Char Char Char Char Char Char Char Char Char Char Char"/>
    <w:basedOn w:val="1"/>
    <w:qFormat/>
    <w:uiPriority w:val="0"/>
    <w:pPr>
      <w:spacing w:line="240" w:lineRule="auto"/>
      <w:ind w:firstLine="0" w:firstLineChars="0"/>
    </w:pPr>
    <w:rPr>
      <w:rFonts w:ascii="仿宋_GB2312" w:eastAsia="仿宋_GB2312"/>
      <w:b/>
      <w:sz w:val="32"/>
      <w:szCs w:val="32"/>
    </w:rPr>
  </w:style>
  <w:style w:type="character" w:customStyle="1" w:styleId="91">
    <w:name w:val="正文文本_"/>
    <w:basedOn w:val="35"/>
    <w:link w:val="92"/>
    <w:unhideWhenUsed/>
    <w:qFormat/>
    <w:uiPriority w:val="99"/>
    <w:rPr>
      <w:rFonts w:ascii="MingLiU" w:hAnsi="MingLiU" w:eastAsia="MingLiU"/>
      <w:sz w:val="28"/>
      <w:shd w:val="clear" w:color="auto" w:fill="FFFFFF"/>
      <w:lang w:val="zh-CN"/>
    </w:rPr>
  </w:style>
  <w:style w:type="paragraph" w:customStyle="1" w:styleId="92">
    <w:name w:val="正文文本1"/>
    <w:basedOn w:val="1"/>
    <w:link w:val="91"/>
    <w:unhideWhenUsed/>
    <w:qFormat/>
    <w:uiPriority w:val="99"/>
    <w:pPr>
      <w:shd w:val="clear" w:color="auto" w:fill="FFFFFF"/>
      <w:spacing w:line="410" w:lineRule="auto"/>
      <w:ind w:firstLine="400" w:firstLineChars="0"/>
      <w:jc w:val="left"/>
    </w:pPr>
    <w:rPr>
      <w:rFonts w:ascii="MingLiU" w:hAnsi="MingLiU" w:eastAsia="MingLiU"/>
      <w:kern w:val="0"/>
      <w:sz w:val="28"/>
      <w:szCs w:val="20"/>
      <w:lang w:val="zh-CN"/>
    </w:rPr>
  </w:style>
  <w:style w:type="paragraph" w:customStyle="1" w:styleId="93">
    <w:name w:val="Table Paragraph"/>
    <w:basedOn w:val="1"/>
    <w:qFormat/>
    <w:uiPriority w:val="1"/>
    <w:pPr>
      <w:autoSpaceDE w:val="0"/>
      <w:autoSpaceDN w:val="0"/>
      <w:adjustRightInd w:val="0"/>
      <w:spacing w:line="240" w:lineRule="auto"/>
      <w:ind w:firstLine="0" w:firstLineChars="0"/>
      <w:jc w:val="left"/>
    </w:pPr>
    <w:rPr>
      <w:rFonts w:eastAsiaTheme="minorEastAsia"/>
      <w:kern w:val="0"/>
    </w:rPr>
  </w:style>
  <w:style w:type="paragraph" w:customStyle="1" w:styleId="94">
    <w:name w:val="正文样式"/>
    <w:basedOn w:val="1"/>
    <w:qFormat/>
    <w:uiPriority w:val="0"/>
    <w:pPr>
      <w:spacing w:line="300" w:lineRule="auto"/>
      <w:ind w:firstLine="600"/>
    </w:pPr>
    <w:rPr>
      <w:rFonts w:ascii="仿宋_GB2312" w:eastAsia="仿宋_GB2312"/>
      <w:szCs w:val="30"/>
    </w:rPr>
  </w:style>
  <w:style w:type="character" w:customStyle="1" w:styleId="95">
    <w:name w:val="标题 1 Char1"/>
    <w:link w:val="4"/>
    <w:qFormat/>
    <w:uiPriority w:val="0"/>
    <w:rPr>
      <w:rFonts w:ascii="Times New Roman" w:hAnsi="Times New Roman" w:eastAsia="黑体"/>
      <w:sz w:val="32"/>
    </w:rPr>
  </w:style>
  <w:style w:type="character" w:customStyle="1" w:styleId="96">
    <w:name w:val="font01"/>
    <w:basedOn w:val="35"/>
    <w:qFormat/>
    <w:uiPriority w:val="0"/>
    <w:rPr>
      <w:rFonts w:hint="eastAsia" w:ascii="宋体" w:hAnsi="宋体" w:eastAsia="宋体" w:cs="宋体"/>
      <w:b/>
      <w:bCs/>
      <w:color w:val="000000"/>
      <w:sz w:val="24"/>
      <w:szCs w:val="24"/>
      <w:u w:val="none"/>
    </w:rPr>
  </w:style>
  <w:style w:type="character" w:customStyle="1" w:styleId="97">
    <w:name w:val="font31"/>
    <w:basedOn w:val="35"/>
    <w:qFormat/>
    <w:uiPriority w:val="0"/>
    <w:rPr>
      <w:rFonts w:hint="eastAsia" w:ascii="宋体" w:hAnsi="宋体" w:eastAsia="宋体" w:cs="宋体"/>
      <w:color w:val="000000"/>
      <w:sz w:val="24"/>
      <w:szCs w:val="24"/>
      <w:u w:val="none"/>
    </w:rPr>
  </w:style>
  <w:style w:type="paragraph" w:customStyle="1" w:styleId="98">
    <w:name w:val="w样小4正文"/>
    <w:basedOn w:val="1"/>
    <w:qFormat/>
    <w:uiPriority w:val="0"/>
    <w:pPr>
      <w:adjustRightInd w:val="0"/>
      <w:snapToGrid w:val="0"/>
      <w:ind w:firstLine="480"/>
    </w:pPr>
  </w:style>
  <w:style w:type="character" w:customStyle="1" w:styleId="99">
    <w:name w:val="font21"/>
    <w:basedOn w:val="35"/>
    <w:qFormat/>
    <w:uiPriority w:val="0"/>
    <w:rPr>
      <w:rFonts w:hint="eastAsia" w:ascii="仿宋_GB2312" w:eastAsia="仿宋_GB2312" w:cs="仿宋_GB2312"/>
      <w:color w:val="000000"/>
      <w:sz w:val="20"/>
      <w:szCs w:val="20"/>
      <w:u w:val="none"/>
    </w:rPr>
  </w:style>
  <w:style w:type="character" w:customStyle="1" w:styleId="100">
    <w:name w:val="font81"/>
    <w:basedOn w:val="35"/>
    <w:qFormat/>
    <w:uiPriority w:val="0"/>
    <w:rPr>
      <w:rFonts w:hint="eastAsia" w:ascii="宋体" w:hAnsi="宋体" w:eastAsia="宋体" w:cs="宋体"/>
      <w:color w:val="FF0000"/>
      <w:sz w:val="20"/>
      <w:szCs w:val="20"/>
      <w:u w:val="none"/>
    </w:rPr>
  </w:style>
  <w:style w:type="paragraph" w:customStyle="1" w:styleId="101">
    <w:name w:val="Picture caption|1"/>
    <w:basedOn w:val="1"/>
    <w:qFormat/>
    <w:uiPriority w:val="0"/>
    <w:rPr>
      <w:rFonts w:ascii="宋体" w:hAnsi="宋体" w:cs="宋体"/>
      <w:lang w:val="zh-TW" w:eastAsia="zh-TW" w:bidi="zh-TW"/>
    </w:rPr>
  </w:style>
  <w:style w:type="character" w:customStyle="1" w:styleId="102">
    <w:name w:val="15"/>
    <w:basedOn w:val="35"/>
    <w:qFormat/>
    <w:uiPriority w:val="0"/>
    <w:rPr>
      <w:rFonts w:hint="default" w:ascii="Times New Roman" w:hAnsi="Times New Roman" w:eastAsia="黑体" w:cs="Times New Roman"/>
      <w:sz w:val="32"/>
      <w:szCs w:val="32"/>
    </w:rPr>
  </w:style>
  <w:style w:type="paragraph" w:styleId="103">
    <w:name w:val="No Spacing"/>
    <w:qFormat/>
    <w:uiPriority w:val="99"/>
    <w:pPr>
      <w:widowControl w:val="0"/>
      <w:contextualSpacing/>
    </w:pPr>
    <w:rPr>
      <w:rFonts w:ascii="Times New Roman" w:hAnsi="Times New Roman" w:eastAsia="仿宋" w:cs="Times New Roman"/>
      <w:kern w:val="2"/>
      <w:sz w:val="30"/>
      <w:lang w:val="en-US" w:eastAsia="zh-CN" w:bidi="ar-SA"/>
    </w:rPr>
  </w:style>
  <w:style w:type="paragraph" w:customStyle="1" w:styleId="104">
    <w:name w:val="三级标题"/>
    <w:basedOn w:val="6"/>
    <w:qFormat/>
    <w:uiPriority w:val="0"/>
    <w:pPr>
      <w:spacing w:before="50" w:afterLines="0"/>
      <w:ind w:firstLine="200" w:firstLineChars="200"/>
      <w:jc w:val="both"/>
    </w:pPr>
    <w:rPr>
      <w:rFonts w:ascii="黑体"/>
      <w:kern w:val="0"/>
      <w:szCs w:val="32"/>
    </w:rPr>
  </w:style>
  <w:style w:type="paragraph" w:customStyle="1" w:styleId="105">
    <w:name w:val="二级标题"/>
    <w:basedOn w:val="5"/>
    <w:next w:val="66"/>
    <w:qFormat/>
    <w:uiPriority w:val="0"/>
    <w:pPr>
      <w:keepNext w:val="0"/>
      <w:keepLines w:val="0"/>
      <w:spacing w:afterLines="50"/>
      <w:ind w:firstLine="200" w:firstLineChars="200"/>
    </w:pPr>
    <w:rPr>
      <w:rFonts w:ascii="Arial" w:hAnsi="Arial"/>
      <w:sz w:val="32"/>
    </w:rPr>
  </w:style>
  <w:style w:type="paragraph" w:customStyle="1" w:styleId="106">
    <w:name w:val="文本框"/>
    <w:qFormat/>
    <w:uiPriority w:val="0"/>
    <w:pPr>
      <w:spacing w:line="160" w:lineRule="atLeast"/>
      <w:ind w:firstLine="200" w:firstLineChars="200"/>
      <w:jc w:val="center"/>
    </w:pPr>
    <w:rPr>
      <w:rFonts w:ascii="Times New Roman" w:hAnsi="Times New Roman" w:eastAsia="宋体" w:cs="Times New Roman"/>
      <w:sz w:val="18"/>
      <w:szCs w:val="28"/>
      <w:lang w:val="en-US" w:eastAsia="zh-CN" w:bidi="ar-SA"/>
    </w:rPr>
  </w:style>
  <w:style w:type="paragraph" w:customStyle="1" w:styleId="107">
    <w:name w:val="*正文"/>
    <w:basedOn w:val="1"/>
    <w:qFormat/>
    <w:uiPriority w:val="0"/>
    <w:pPr>
      <w:widowControl/>
    </w:pPr>
    <w:rPr>
      <w:rFonts w:ascii="仿宋_GB2312" w:eastAsia="Times New Roman"/>
      <w:kern w:val="0"/>
      <w:szCs w:val="28"/>
    </w:rPr>
  </w:style>
  <w:style w:type="paragraph" w:customStyle="1" w:styleId="108">
    <w:name w:val="正文首行缩进1"/>
    <w:basedOn w:val="2"/>
    <w:unhideWhenUsed/>
    <w:qFormat/>
    <w:uiPriority w:val="0"/>
    <w:pPr>
      <w:ind w:firstLine="420" w:firstLineChars="100"/>
    </w:pPr>
    <w:rPr>
      <w:kern w:val="0"/>
      <w:sz w:val="34"/>
    </w:rPr>
  </w:style>
  <w:style w:type="paragraph" w:customStyle="1" w:styleId="109">
    <w:name w:val="样4"/>
    <w:basedOn w:val="110"/>
    <w:next w:val="107"/>
    <w:qFormat/>
    <w:uiPriority w:val="0"/>
    <w:pPr>
      <w:ind w:firstLine="0" w:firstLineChars="0"/>
      <w:jc w:val="left"/>
      <w:outlineLvl w:val="3"/>
    </w:pPr>
    <w:rPr>
      <w:sz w:val="28"/>
    </w:rPr>
  </w:style>
  <w:style w:type="paragraph" w:customStyle="1" w:styleId="110">
    <w:name w:val="3"/>
    <w:basedOn w:val="1"/>
    <w:qFormat/>
    <w:uiPriority w:val="0"/>
    <w:pPr>
      <w:adjustRightInd w:val="0"/>
      <w:snapToGrid w:val="0"/>
      <w:spacing w:before="50" w:beforeLines="50" w:after="50" w:afterLines="50"/>
      <w:jc w:val="center"/>
      <w:outlineLvl w:val="2"/>
    </w:pPr>
    <w:rPr>
      <w:b/>
      <w:sz w:val="30"/>
      <w:szCs w:val="28"/>
    </w:rPr>
  </w:style>
  <w:style w:type="paragraph" w:customStyle="1" w:styleId="111">
    <w:name w:val="样式 正文文本缩进 + 五号 加粗 首行缩进:  0 厘米 段后: 8.5 磅"/>
    <w:basedOn w:val="13"/>
    <w:qFormat/>
    <w:uiPriority w:val="0"/>
    <w:pPr>
      <w:spacing w:after="170"/>
      <w:ind w:left="0" w:leftChars="0"/>
      <w:jc w:val="center"/>
    </w:pPr>
    <w:rPr>
      <w:rFonts w:ascii="宋体" w:hAnsi="宋体"/>
      <w:b/>
    </w:rPr>
  </w:style>
  <w:style w:type="paragraph" w:customStyle="1" w:styleId="112">
    <w:name w:val="WPSOffice手动目录 1"/>
    <w:qFormat/>
    <w:uiPriority w:val="0"/>
    <w:rPr>
      <w:rFonts w:ascii="Times New Roman" w:hAnsi="Times New Roman" w:eastAsia="宋体" w:cs="Times New Roman"/>
      <w:lang w:val="en-US" w:eastAsia="zh-CN" w:bidi="ar-SA"/>
    </w:rPr>
  </w:style>
  <w:style w:type="paragraph" w:customStyle="1" w:styleId="11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4">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18.wmf"/><Relationship Id="rId32" Type="http://schemas.openxmlformats.org/officeDocument/2006/relationships/oleObject" Target="embeddings/oleObject2.bin"/><Relationship Id="rId31" Type="http://schemas.openxmlformats.org/officeDocument/2006/relationships/image" Target="media/image17.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emf"/><Relationship Id="rId24" Type="http://schemas.openxmlformats.org/officeDocument/2006/relationships/oleObject" Target="embeddings/Workbook1.xls"/><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480497-CEEE-4C8A-9057-FD2E7A550CE1}">
  <ds:schemaRefs/>
</ds:datastoreItem>
</file>

<file path=docProps/app.xml><?xml version="1.0" encoding="utf-8"?>
<Properties xmlns="http://schemas.openxmlformats.org/officeDocument/2006/extended-properties" xmlns:vt="http://schemas.openxmlformats.org/officeDocument/2006/docPropsVTypes">
  <Template>Normal.dotm</Template>
  <Company>ZF</Company>
  <Pages>100</Pages>
  <Words>51990</Words>
  <Characters>55425</Characters>
  <Lines>430</Lines>
  <Paragraphs>121</Paragraphs>
  <TotalTime>102</TotalTime>
  <ScaleCrop>false</ScaleCrop>
  <LinksUpToDate>false</LinksUpToDate>
  <CharactersWithSpaces>55875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2021-11-04T07:25:00Z</dcterms:created>
  <dc:creator>wanghap</dc:creator>
  <cp:lastModifiedBy>朱昆</cp:lastModifiedBy>
  <cp:lastPrinted>2023-03-01T07:08:00Z</cp:lastPrinted>
  <dcterms:modified xsi:type="dcterms:W3CDTF">2023-03-31T07:44:09Z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6D5F12C47280413DA88258079B996C90</vt:lpwstr>
  </property>
</Properties>
</file>